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FBEDD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第八单元　单元统整备课</w:t>
      </w:r>
    </w:p>
    <w:p w14:paraId="2B1A098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单元内容概说</w:t>
      </w:r>
    </w:p>
    <w:p w14:paraId="20EBCFA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本单元以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读书明智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为主题进行编排，选编了《古人谈读书》《忆读书》《我的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长生果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》三篇课文。《古人谈读书》选编了孔子、朱熹对读书的理解和要求。《忆读书》中，冰心总结了她多年的读书经验，旨在引</w:t>
      </w:r>
      <w:r>
        <w:rPr>
          <w:rFonts w:hint="eastAsia" w:hAnsi="宋体" w:eastAsia="楷体_GB2312" w:cs="Times New Roman"/>
          <w:sz w:val="24"/>
          <w:szCs w:val="24"/>
        </w:rPr>
        <w:t>导学生懂得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读书好，</w:t>
      </w:r>
      <w:r>
        <w:rPr>
          <w:rFonts w:hAnsi="宋体" w:eastAsia="楷体_GB2312" w:cs="Times New Roman"/>
          <w:sz w:val="24"/>
          <w:szCs w:val="24"/>
        </w:rPr>
        <w:t>多读书，读好书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的道理。《我的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长生果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》中，叶文玲回忆了少年时代的读书生活，阐明了读书的特有感受以及读书对她生活的影响，作者在读写的实践中，逐渐悟出了读写间的关系。</w:t>
      </w:r>
    </w:p>
    <w:p w14:paraId="1189936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语文要素布列</w:t>
      </w:r>
      <w:r>
        <w:rPr>
          <w:rFonts w:hAnsi="宋体" w:cs="Times New Roman"/>
          <w:sz w:val="24"/>
          <w:szCs w:val="24"/>
        </w:rPr>
        <w:t>(要素在课文中并列分布)</w:t>
      </w:r>
    </w:p>
    <w:p w14:paraId="65E7D10B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/>
          <w:sz w:val="24"/>
          <w:szCs w:val="24"/>
        </w:rPr>
        <w:drawing>
          <wp:inline distT="0" distB="0" distL="0" distR="0">
            <wp:extent cx="5335270" cy="2042795"/>
            <wp:effectExtent l="19050" t="0" r="0" b="0"/>
            <wp:docPr id="1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2357" cy="2045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4B86E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核心素养要点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980"/>
        <w:gridCol w:w="6003"/>
      </w:tblGrid>
      <w:tr w14:paraId="28170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dxa"/>
            <w:shd w:val="clear" w:color="auto" w:fill="auto"/>
            <w:vAlign w:val="center"/>
          </w:tcPr>
          <w:p w14:paraId="3183726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内容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AC8F0DA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课时</w:t>
            </w:r>
          </w:p>
        </w:tc>
        <w:tc>
          <w:tcPr>
            <w:tcW w:w="6003" w:type="dxa"/>
            <w:shd w:val="clear" w:color="auto" w:fill="auto"/>
            <w:vAlign w:val="center"/>
          </w:tcPr>
          <w:p w14:paraId="29CC9258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教学目标(素养要点)</w:t>
            </w:r>
          </w:p>
        </w:tc>
      </w:tr>
      <w:tr w14:paraId="67A59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dxa"/>
            <w:shd w:val="clear" w:color="auto" w:fill="auto"/>
            <w:vAlign w:val="center"/>
          </w:tcPr>
          <w:p w14:paraId="1693D291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古人谈读书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001BEE5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</w:t>
            </w:r>
          </w:p>
        </w:tc>
        <w:tc>
          <w:tcPr>
            <w:tcW w:w="6003" w:type="dxa"/>
            <w:vMerge w:val="restart"/>
            <w:shd w:val="clear" w:color="auto" w:fill="auto"/>
            <w:vAlign w:val="center"/>
          </w:tcPr>
          <w:p w14:paraId="1E053634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1.认识3</w:t>
            </w:r>
            <w:r>
              <w:rPr>
                <w:rFonts w:hint="eastAsia"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个生字，读准5个多音字，会写1</w:t>
            </w:r>
            <w:r>
              <w:rPr>
                <w:rFonts w:hint="eastAsia" w:hAnsi="宋体" w:cs="Times New Roman"/>
                <w:sz w:val="24"/>
                <w:szCs w:val="24"/>
              </w:rPr>
              <w:t>9</w:t>
            </w:r>
            <w:r>
              <w:rPr>
                <w:rFonts w:hAnsi="宋体" w:cs="Times New Roman"/>
                <w:sz w:val="24"/>
                <w:szCs w:val="24"/>
              </w:rPr>
              <w:t>个字，会写15个词语。</w:t>
            </w:r>
          </w:p>
          <w:p w14:paraId="48FD28A8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2．能借助注释，理解课文大意。</w:t>
            </w:r>
          </w:p>
          <w:p w14:paraId="330D7E9D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3．能联系自己的读书体会，说出课文内容带来的启发。</w:t>
            </w:r>
          </w:p>
          <w:p w14:paraId="27BF0EC0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4．能梳理出作者的读书经历，说出作者对“好书”的看法，体会作者从读书、作文中悟出的道理。</w:t>
            </w:r>
          </w:p>
        </w:tc>
      </w:tr>
      <w:tr w14:paraId="457F4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dxa"/>
            <w:shd w:val="clear" w:color="auto" w:fill="auto"/>
            <w:vAlign w:val="center"/>
          </w:tcPr>
          <w:p w14:paraId="572C41F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忆读书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7EB1CAF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</w:t>
            </w:r>
          </w:p>
        </w:tc>
        <w:tc>
          <w:tcPr>
            <w:tcW w:w="6003" w:type="dxa"/>
            <w:vMerge w:val="continue"/>
            <w:shd w:val="clear" w:color="auto" w:fill="auto"/>
            <w:vAlign w:val="center"/>
          </w:tcPr>
          <w:p w14:paraId="71B846C1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2EB2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dxa"/>
            <w:shd w:val="clear" w:color="auto" w:fill="auto"/>
            <w:vAlign w:val="center"/>
          </w:tcPr>
          <w:p w14:paraId="3F5A226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我的“长生果”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FE5FC8A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</w:t>
            </w:r>
          </w:p>
        </w:tc>
        <w:tc>
          <w:tcPr>
            <w:tcW w:w="6003" w:type="dxa"/>
            <w:vMerge w:val="continue"/>
            <w:shd w:val="clear" w:color="auto" w:fill="auto"/>
            <w:vAlign w:val="center"/>
          </w:tcPr>
          <w:p w14:paraId="35162C66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1FD7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dxa"/>
            <w:shd w:val="clear" w:color="auto" w:fill="auto"/>
            <w:vAlign w:val="center"/>
          </w:tcPr>
          <w:p w14:paraId="025DC89C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口语交际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2E5B37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</w:t>
            </w:r>
          </w:p>
        </w:tc>
        <w:tc>
          <w:tcPr>
            <w:tcW w:w="6003" w:type="dxa"/>
            <w:shd w:val="clear" w:color="auto" w:fill="auto"/>
            <w:vAlign w:val="center"/>
          </w:tcPr>
          <w:p w14:paraId="21225E7C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1.能分条讲述，把介绍人物形象的理由说清楚。</w:t>
            </w:r>
          </w:p>
          <w:p w14:paraId="3E8F7065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2．听人说话能抓住重</w:t>
            </w:r>
            <w:r>
              <w:rPr>
                <w:rFonts w:hint="eastAsia" w:hAnsi="宋体" w:cs="Times New Roman"/>
                <w:sz w:val="24"/>
                <w:szCs w:val="24"/>
              </w:rPr>
              <w:t>点。</w:t>
            </w:r>
          </w:p>
        </w:tc>
      </w:tr>
      <w:tr w14:paraId="4C577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dxa"/>
            <w:shd w:val="clear" w:color="auto" w:fill="auto"/>
            <w:vAlign w:val="center"/>
          </w:tcPr>
          <w:p w14:paraId="31E5995A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习　作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038E94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</w:t>
            </w:r>
          </w:p>
        </w:tc>
        <w:tc>
          <w:tcPr>
            <w:tcW w:w="6003" w:type="dxa"/>
            <w:shd w:val="clear" w:color="auto" w:fill="auto"/>
            <w:vAlign w:val="center"/>
          </w:tcPr>
          <w:p w14:paraId="325A7C53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1.介绍一本书，能分段表述推荐理由。</w:t>
            </w:r>
          </w:p>
          <w:p w14:paraId="546037B8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2．能把重要的理由写具体。</w:t>
            </w:r>
          </w:p>
          <w:p w14:paraId="0A467732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2D8E3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33" w:type="dxa"/>
            <w:shd w:val="clear" w:color="auto" w:fill="auto"/>
            <w:vAlign w:val="center"/>
          </w:tcPr>
          <w:p w14:paraId="5328C7A5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语文园地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E7FD3FD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</w:t>
            </w:r>
          </w:p>
        </w:tc>
        <w:tc>
          <w:tcPr>
            <w:tcW w:w="6003" w:type="dxa"/>
            <w:shd w:val="clear" w:color="auto" w:fill="auto"/>
            <w:vAlign w:val="center"/>
          </w:tcPr>
          <w:p w14:paraId="68F482F3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1.能梳理、总结找书读的方法。</w:t>
            </w:r>
          </w:p>
          <w:p w14:paraId="07508FA7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2．能借助比喻表达自己对书的看法。</w:t>
            </w:r>
          </w:p>
          <w:p w14:paraId="38A3B84F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3．能把句子排成一段意思连贯的话，并抄写下来。</w:t>
            </w:r>
          </w:p>
          <w:p w14:paraId="7BE282D7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4．初步了解欧阳询楷书的用笔、结构等特点，欣赏欧阳询楷书的艺术风格和表现形态，感受汉字和书法的魅力。</w:t>
            </w:r>
          </w:p>
          <w:p w14:paraId="3BC271A2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5．朗读、背诵《观书有感》。</w:t>
            </w:r>
          </w:p>
        </w:tc>
      </w:tr>
    </w:tbl>
    <w:p w14:paraId="4361A6A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799A4422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25　古人谈读书</w:t>
      </w:r>
    </w:p>
    <w:p w14:paraId="2E34BF5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389E4C1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1．认识“耻、寝”等4个生字，读准多音字“识”，会写“耻、诲”等5个字。</w:t>
      </w:r>
    </w:p>
    <w:p w14:paraId="2BDA117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2．通过联系上下文、借助工具书、借助注释等方法理解词句。</w:t>
      </w:r>
    </w:p>
    <w:p w14:paraId="67DD709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3．正确、流利地朗读课文。背诵课文。</w:t>
      </w:r>
    </w:p>
    <w:p w14:paraId="3534AFE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4．理解课文，梳理信息，能联系自己的读书体会，说出课文内容给自己带来的启发。</w:t>
      </w:r>
    </w:p>
    <w:p w14:paraId="414C744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教学重难点</w:t>
      </w:r>
    </w:p>
    <w:p w14:paraId="2D1689D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理解课文，梳理古人读书求学的态度和方法，能联系自己的读书体会，说出课文中读书方法带来的启发。</w:t>
      </w:r>
    </w:p>
    <w:p w14:paraId="54B2A4B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教学策略</w:t>
      </w:r>
    </w:p>
    <w:p w14:paraId="6466EA3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认写字词</w:t>
      </w:r>
    </w:p>
    <w:p w14:paraId="5B34D82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课要求认识的字中，“耻”是形声字，也可结合顺口溜识记字形：耳朵不要去听令人羞耻的事情。“识”是多音字，表示“记住”时读zhì，在成语“博闻强识”中也读这个音。“矣”是语气词，可结合朗读句子认读。“岂”可结合组词识记。</w:t>
      </w:r>
    </w:p>
    <w:p w14:paraId="1554967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本课要求会写的字中，“诲、谓、诵”都是言字旁，书写时注意左窄右宽。书写“岂”字时注意下半部分是“己”。</w:t>
      </w:r>
    </w:p>
    <w:p w14:paraId="691D7F0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朗读指导</w:t>
      </w:r>
    </w:p>
    <w:p w14:paraId="2B9F8FB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课文中有几个多音字，而且意思与现在常用义项不一致，可以</w:t>
      </w:r>
      <w:r>
        <w:rPr>
          <w:rFonts w:hint="eastAsia" w:hAnsi="宋体" w:cs="Times New Roman"/>
          <w:sz w:val="24"/>
          <w:szCs w:val="24"/>
        </w:rPr>
        <w:t>让学生借助课文注释、</w:t>
      </w:r>
      <w:r>
        <w:rPr>
          <w:rFonts w:hAnsi="宋体" w:cs="Times New Roman"/>
          <w:sz w:val="24"/>
          <w:szCs w:val="24"/>
        </w:rPr>
        <w:t>工具书，在理解意思的基础上掌握准确读音。再联系上下文和生活经验，读通句子的意思，可以先自由练读，再小组同学互相检查，读准字音。</w:t>
      </w:r>
    </w:p>
    <w:p w14:paraId="2359BE6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文是文言文，学生只有在理解课文意思的基础上，才能读得顺畅。所以要边理解边朗读，意思基本理解了，朗读就流利了。同时朗读时要注意长句子的断句，读好停顿。教师可范读，出示长句子，引导学生标明停顿，多练习体会。</w:t>
      </w:r>
    </w:p>
    <w:p w14:paraId="44E9EAC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阅读理解</w:t>
      </w:r>
    </w:p>
    <w:p w14:paraId="5CE0B61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学习文言文，理解句意是教学的重点，也</w:t>
      </w:r>
      <w:r>
        <w:rPr>
          <w:rFonts w:hint="eastAsia" w:hAnsi="宋体" w:cs="Times New Roman"/>
          <w:sz w:val="24"/>
          <w:szCs w:val="24"/>
        </w:rPr>
        <w:t>是难点。</w:t>
      </w:r>
      <w:r>
        <w:rPr>
          <w:rFonts w:hAnsi="宋体" w:cs="Times New Roman"/>
          <w:sz w:val="24"/>
          <w:szCs w:val="24"/>
        </w:rPr>
        <w:t>能联系上下文和自己的积累，推想课文中有关词句的意思，是第三学段的重要学习目标。在理解的过程中需要运用借助工具书、借助注解，掌握组词法等一些有效的学习策略。在《古人谈读书》中，还需特别关注古今异义的现象，“急”在课文中是“要紧、重要”的意思，而非常用的“焦急”之意，类似的还有“知、厌”等。在教学时，可以让学生先联系上下文猜猜它们的意思，再用工具书加以印证。</w:t>
      </w:r>
    </w:p>
    <w:p w14:paraId="33B5D25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在理解内容时，还要注意与朗读结合，读通句子有助于学生感受课文意思，</w:t>
      </w:r>
      <w:r>
        <w:rPr>
          <w:rFonts w:hint="eastAsia" w:hAnsi="宋体" w:cs="Times New Roman"/>
          <w:sz w:val="24"/>
          <w:szCs w:val="24"/>
        </w:rPr>
        <w:t>尤其是文言文。</w:t>
      </w:r>
    </w:p>
    <w:p w14:paraId="615237F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积累运用</w:t>
      </w:r>
    </w:p>
    <w:p w14:paraId="2A3A67C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本文句式比较整齐，适合学生朗读，内容是关于学习方法和态度的论述，对指导学习极有价值，学生背诵后可受益终生。</w:t>
      </w:r>
    </w:p>
    <w:p w14:paraId="1DAB539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借学习本文的机会，积累相关学习名言，适时交流学习本文之后自己的学习有何改进和提高，鼓励学生养成日后积累名言的好习惯。</w:t>
      </w:r>
    </w:p>
    <w:p w14:paraId="50B1D69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518139F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教学课件。</w:t>
      </w:r>
    </w:p>
    <w:p w14:paraId="65988E0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课前查找两则文言文的出处和作者信息等资料。</w:t>
      </w:r>
    </w:p>
    <w:p w14:paraId="288E1E6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6F3035A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课时。</w:t>
      </w:r>
    </w:p>
    <w:p w14:paraId="2787D76F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第1课时</w:t>
      </w:r>
    </w:p>
    <w:p w14:paraId="21608FF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1080045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1．认识“耻、寝”等4个生字，读准多音字“识”。</w:t>
      </w:r>
    </w:p>
    <w:p w14:paraId="1A33895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2．通过联系上下文、借助工具书、借助注释等方法理解词句，读懂第一则文言文，知道“知”“厌”的古今异义现象。</w:t>
      </w:r>
    </w:p>
    <w:p w14:paraId="4628EBF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3．朗读全文，背诵第一则文言文。</w:t>
      </w:r>
    </w:p>
    <w:p w14:paraId="2AF0DA9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4FDA7DE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聚焦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读书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，导入新课</w:t>
      </w:r>
    </w:p>
    <w:p w14:paraId="421DDC8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1．让学生读一读篇章页上的名言，自由讨论：你还知道哪些读书名言？</w:t>
      </w:r>
    </w:p>
    <w:p w14:paraId="0EA1B15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2．出示读书相关的名言，</w:t>
      </w:r>
      <w:r>
        <w:rPr>
          <w:rFonts w:hint="eastAsia" w:hAnsi="宋体" w:cs="Times New Roman"/>
          <w:sz w:val="24"/>
          <w:szCs w:val="24"/>
        </w:rPr>
        <w:t>学生朗诵</w:t>
      </w:r>
      <w:r>
        <w:rPr>
          <w:rFonts w:hAnsi="宋体" w:cs="Times New Roman"/>
          <w:sz w:val="24"/>
          <w:szCs w:val="24"/>
        </w:rPr>
        <w:t>：</w:t>
      </w:r>
    </w:p>
    <w:p w14:paraId="6C1BF91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书山有路勤为径，学海无涯苦作舟。</w:t>
      </w:r>
    </w:p>
    <w:p w14:paraId="0830D07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读书百遍，而义自见。</w:t>
      </w:r>
    </w:p>
    <w:p w14:paraId="53B918C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读万卷书，行万里路。</w:t>
      </w:r>
    </w:p>
    <w:p w14:paraId="7EF7633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发愤识遍天下字，立志读尽人间书。</w:t>
      </w:r>
    </w:p>
    <w:p w14:paraId="73A5997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这些名言都和读书有关。在我国古代，许多文人对读书表达了自己的理解和看法，今天我们就来学习《古人谈读书》。</w:t>
      </w:r>
    </w:p>
    <w:p w14:paraId="32FDEA9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4．学生浏览课文，圈出课文的出处、作者等信息。</w:t>
      </w:r>
    </w:p>
    <w:p w14:paraId="521C58E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5．组织学生结合课前搜集的资料交流与课文相关的信息。教师相机点拨，</w:t>
      </w:r>
      <w:r>
        <w:rPr>
          <w:rFonts w:hint="eastAsia" w:hAnsi="宋体" w:cs="Times New Roman"/>
          <w:sz w:val="24"/>
          <w:szCs w:val="24"/>
        </w:rPr>
        <w:t>介绍作者。</w:t>
      </w:r>
    </w:p>
    <w:p w14:paraId="248C41E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(1)第一则出自《论语》。《论语》是记载孔子和他的弟子们言行的典籍。孔子是一位大学问家，十分重视学习，《论语》中多处讲到了学习的态度和方法。</w:t>
      </w:r>
    </w:p>
    <w:p w14:paraId="33CA2C6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(2)第二则的作者是南宋著名理学家朱熹。他编写的《童蒙须知》，对儿童的生活起居、学习、道德行为、礼节等都作了详细规定。</w:t>
      </w:r>
    </w:p>
    <w:p w14:paraId="6E15C580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由学习名言导入，激发学习兴趣。课前组织学生搜集信息，课上圈画信息，便于比较对照，尽快进入学</w:t>
      </w:r>
      <w:r>
        <w:rPr>
          <w:rFonts w:hint="eastAsia" w:hAnsi="宋体" w:eastAsia="仿宋_GB2312" w:cs="Times New Roman"/>
          <w:sz w:val="24"/>
          <w:szCs w:val="24"/>
        </w:rPr>
        <w:t>习状态。</w:t>
      </w:r>
    </w:p>
    <w:p w14:paraId="5446C326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读通课文，理解字词</w:t>
      </w:r>
    </w:p>
    <w:p w14:paraId="39B9683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仿宋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出示朗读要求，学生练习读课文。</w:t>
      </w:r>
    </w:p>
    <w:p w14:paraId="18DEDC0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(1)自读课文，借助注释，读准字音，正确认读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耻、寝、矣、岂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4个生字和多音字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38AC6D5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(2)注意停顿，读好长句子。</w:t>
      </w:r>
    </w:p>
    <w:p w14:paraId="49EB3FD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2．学生朗读课文，画出生字，交流识记生字的方法。</w:t>
      </w:r>
    </w:p>
    <w:p w14:paraId="60FC7BB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5122CAD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(1)“耳”加“止”组成“耻”，可编顺口溜“耳朵不要去听令人羞耻的事情”来理解字形，组词为</w:t>
      </w:r>
      <w:r>
        <w:rPr>
          <w:rFonts w:hint="eastAsia" w:hAnsi="宋体" w:cs="Times New Roman"/>
          <w:sz w:val="24"/>
          <w:szCs w:val="24"/>
        </w:rPr>
        <w:t>“羞耻、</w:t>
      </w:r>
      <w:r>
        <w:rPr>
          <w:rFonts w:hAnsi="宋体" w:cs="Times New Roman"/>
          <w:sz w:val="24"/>
          <w:szCs w:val="24"/>
        </w:rPr>
        <w:t>耻辱”，意思是“羞愧，耻辱”。</w:t>
      </w:r>
    </w:p>
    <w:p w14:paraId="3ECC45C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(2)用结合词语的方法记住“寝”。可以结合“寝室”“就寝”等生活中常用的词语识记“寝”。</w:t>
      </w:r>
    </w:p>
    <w:p w14:paraId="3D9E2C4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(3)用熟字去偏旁的方法记住“矣”。第10课我们学写的“挨”去掉提手旁就是“矣”。</w:t>
      </w:r>
    </w:p>
    <w:p w14:paraId="7814733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(4)“岂”可以组词为“岂敢、岂有此理”，是表示疑问的词，可以解释为“难道、哪里”。</w:t>
      </w:r>
    </w:p>
    <w:p w14:paraId="4395926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(5)“识”在“识别、认识”这些词里读shí，是“知道、认得”的意思。“默而识之”的“识”读zhì，是“记住”的意思。</w:t>
      </w:r>
    </w:p>
    <w:p w14:paraId="5C1F19F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3．指名读课文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指导学生根据字义读准字音。</w:t>
      </w:r>
    </w:p>
    <w:p w14:paraId="303405A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(1)引导学生结合注释，想想“敏而好学”“好古”中“好”的意思，“是知也”中“知”的意思，并根据字义猜测“好”和“知”字的正确读音。</w:t>
      </w:r>
    </w:p>
    <w:p w14:paraId="56CA9BB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(2)结合注释读准“识”的读音。</w:t>
      </w:r>
    </w:p>
    <w:p w14:paraId="35C545A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(3)先找学生当小老师领读，再让学生齐读这几个句子，巩固字音。</w:t>
      </w:r>
    </w:p>
    <w:p w14:paraId="6C0CEC2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4．指导学生读通句子，注意停顿，读好长句子。</w:t>
      </w:r>
    </w:p>
    <w:p w14:paraId="46CC9CF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(1)出示下列句子，教师范读，学生边听边标出句子的停顿。</w:t>
      </w:r>
    </w:p>
    <w:p w14:paraId="32AF6376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知之为知之，不知为不知，是知也。</w:t>
      </w:r>
    </w:p>
    <w:p w14:paraId="0D877FA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int="eastAsia" w:hAnsi="宋体" w:eastAsia="楷体_GB2312" w:cs="Times New Roman"/>
          <w:sz w:val="24"/>
          <w:szCs w:val="24"/>
        </w:rPr>
        <w:t>我非生而知之者，</w:t>
      </w:r>
      <w:r>
        <w:rPr>
          <w:rFonts w:hAnsi="宋体" w:eastAsia="楷体_GB2312" w:cs="Times New Roman"/>
          <w:sz w:val="24"/>
          <w:szCs w:val="24"/>
        </w:rPr>
        <w:t>好古，敏以求之者也。</w:t>
      </w:r>
    </w:p>
    <w:p w14:paraId="2238348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吾尝终日不食，终夜不寝，以思，无益，不如学也。</w:t>
      </w:r>
    </w:p>
    <w:p w14:paraId="6145091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心不在此，则眼不看仔细，心眼既不专一，却只漫浪诵读，决不能记，记亦不能久也。</w:t>
      </w:r>
    </w:p>
    <w:p w14:paraId="307AD1E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(2)学生自由练习读这几个句子。</w:t>
      </w:r>
    </w:p>
    <w:p w14:paraId="72D48D1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5．学生再次练习读课文，做到读正确、读流利。</w:t>
      </w:r>
    </w:p>
    <w:p w14:paraId="5F35D8AA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文言文词义理解是理解课文内容的关键。在识字的基础上理解词义，再理解语句意思，环环相扣；理解句意之后再练习朗读，也便于学生掌握意义停顿，</w:t>
      </w:r>
      <w:r>
        <w:rPr>
          <w:rFonts w:hint="eastAsia" w:hAnsi="宋体" w:eastAsia="仿宋_GB2312" w:cs="Times New Roman"/>
          <w:sz w:val="24"/>
          <w:szCs w:val="24"/>
        </w:rPr>
        <w:t>促进对课文内容的理解。</w:t>
      </w:r>
    </w:p>
    <w:p w14:paraId="2FC5D0D8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读懂课文，提炼方法</w:t>
      </w:r>
    </w:p>
    <w:p w14:paraId="52E9B53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仿宋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教师出示要求，学生自主阅读，再小组讨论。</w:t>
      </w:r>
    </w:p>
    <w:p w14:paraId="6AD9515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(1)默读第一则文言文，结合注释，试着用自己的话说说每句话的大意。</w:t>
      </w:r>
    </w:p>
    <w:p w14:paraId="2E12ABC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(2)小组交流第一则文言文的大意，做好小组汇报准备。</w:t>
      </w:r>
    </w:p>
    <w:p w14:paraId="1D54F99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(3)把讨论后仍然不能解决的问题记下来。</w:t>
      </w:r>
    </w:p>
    <w:p w14:paraId="5FF7D8D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教师巡视指导，鼓励学生先结合注释和上下文猜意思，再交流。</w:t>
      </w:r>
    </w:p>
    <w:p w14:paraId="424698C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2．学生逐句理解，提出疑难问题，教师释疑点拨。</w:t>
      </w:r>
    </w:p>
    <w:p w14:paraId="296000F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1)知之为知之，不知为不知，是知也。</w:t>
      </w:r>
    </w:p>
    <w:p w14:paraId="63126C3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理解“知”的意思：前面4个“知”为“知道”的意思，最后一个“知”同“智”，表示智慧。“是”是“这”的意思。</w:t>
      </w:r>
    </w:p>
    <w:p w14:paraId="54CF057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知道就是知道，不知道就是不知道，这才是智慧。</w:t>
      </w:r>
    </w:p>
    <w:p w14:paraId="2511DE5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(2)敏而好学，不耻下问。</w:t>
      </w:r>
    </w:p>
    <w:p w14:paraId="398B218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学生借助注释理解“耻”是“以……为耻”的意思，讨论“下问”是向哪些人问。</w:t>
      </w:r>
    </w:p>
    <w:p w14:paraId="2991BF7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聪敏勤学，不以向地位、学问不如自己的人请教为耻。</w:t>
      </w:r>
    </w:p>
    <w:p w14:paraId="576AEB0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(3)默而识之，学而不厌，诲</w:t>
      </w:r>
      <w:r>
        <w:rPr>
          <w:rFonts w:hint="eastAsia" w:hAnsi="宋体" w:cs="Times New Roman"/>
          <w:sz w:val="24"/>
          <w:szCs w:val="24"/>
        </w:rPr>
        <w:t>人不倦。</w:t>
      </w:r>
    </w:p>
    <w:p w14:paraId="3BC7719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指导学生给“默”字组词，再联系上下文，想一想哪个词语放在句子中最合适。</w:t>
      </w:r>
    </w:p>
    <w:p w14:paraId="6D5D85F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预设1：</w:t>
      </w:r>
      <w:r>
        <w:rPr>
          <w:rFonts w:hAnsi="宋体" w:cs="Times New Roman"/>
          <w:sz w:val="24"/>
          <w:szCs w:val="24"/>
        </w:rPr>
        <w:t>可以组词为“默读、默写、默默”等；对比发现，“默默”放在句子中最合适。“识”的读音为zhì。“厌”是满足的意思。</w:t>
      </w:r>
    </w:p>
    <w:p w14:paraId="37E96C5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预设2：</w:t>
      </w:r>
      <w:r>
        <w:rPr>
          <w:rFonts w:hAnsi="宋体" w:cs="Times New Roman"/>
          <w:sz w:val="24"/>
          <w:szCs w:val="24"/>
        </w:rPr>
        <w:t>默默地记住知识，学习不知满足，教诲他人不知疲倦。</w:t>
      </w:r>
    </w:p>
    <w:p w14:paraId="10ECFE3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(4)我非生而知之者，好古，敏以求之者也。</w:t>
      </w:r>
    </w:p>
    <w:p w14:paraId="6EE19D4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借助注释理解“敏”的意思是“勤勉”，与现在的意思不同。</w:t>
      </w:r>
    </w:p>
    <w:p w14:paraId="605BC56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我不</w:t>
      </w:r>
      <w:r>
        <w:rPr>
          <w:rFonts w:hint="eastAsia" w:hAnsi="宋体" w:cs="Times New Roman"/>
          <w:sz w:val="24"/>
          <w:szCs w:val="24"/>
        </w:rPr>
        <w:t>是生下来就什么都知道，</w:t>
      </w:r>
      <w:r>
        <w:rPr>
          <w:rFonts w:hAnsi="宋体" w:cs="Times New Roman"/>
          <w:sz w:val="24"/>
          <w:szCs w:val="24"/>
        </w:rPr>
        <w:t>而是喜欢古代文化，靠勤勉求得知识的人。</w:t>
      </w:r>
    </w:p>
    <w:p w14:paraId="3BB19A3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(5)学如不及，犹恐失之。</w:t>
      </w:r>
    </w:p>
    <w:p w14:paraId="27765C5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学习就像追赶什么似的，生怕赶不上，学到了还怕会失去。</w:t>
      </w:r>
    </w:p>
    <w:p w14:paraId="02C0609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(6)吾尝终日不食，终夜不寝，以思，无益，不如学也。</w:t>
      </w:r>
    </w:p>
    <w:p w14:paraId="2945B66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自己曾经整天不吃、整夜不睡地思考，发现这样并没有益处，不如学习。</w:t>
      </w:r>
    </w:p>
    <w:p w14:paraId="72726BF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3．教师总结：</w:t>
      </w:r>
    </w:p>
    <w:p w14:paraId="2AA4296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(1)借用注释，连词成句是我们读懂文言文的一种好方法。</w:t>
      </w:r>
    </w:p>
    <w:p w14:paraId="76D57CC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(2)有些字词，随着时间的更迭和生活的</w:t>
      </w:r>
      <w:r>
        <w:rPr>
          <w:rFonts w:hint="eastAsia" w:hAnsi="宋体" w:cs="Times New Roman"/>
          <w:sz w:val="24"/>
          <w:szCs w:val="24"/>
        </w:rPr>
        <w:t>演变，</w:t>
      </w:r>
      <w:r>
        <w:rPr>
          <w:rFonts w:hAnsi="宋体" w:cs="Times New Roman"/>
          <w:sz w:val="24"/>
          <w:szCs w:val="24"/>
        </w:rPr>
        <w:t>字义也会慢慢发生改变，如本课中“知”表示“智慧”，“敏”表示“勤勉”。现在这些义项已经不用了，还有的字用的是比较生僻的意思，如“厌”表示“满足”，现在主要表示“讨厌”。虽然是同一个字或词语，但古今意思不同，这就是“古今异义”现象。</w:t>
      </w:r>
    </w:p>
    <w:p w14:paraId="7720E41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4．同桌互相说一说《论语》六句名言的意思。小组汇报，质疑交流。</w:t>
      </w:r>
    </w:p>
    <w:p w14:paraId="43DC164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5．提炼读懂第一则文言文的方法：(1)借助注释来理解；(2)联系上下文来理解；(3)借助工具书来理解。</w:t>
      </w:r>
    </w:p>
    <w:p w14:paraId="6D4EC734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由于学生不常接</w:t>
      </w:r>
      <w:r>
        <w:rPr>
          <w:rFonts w:hint="eastAsia" w:hAnsi="宋体" w:eastAsia="仿宋_GB2312" w:cs="Times New Roman"/>
          <w:sz w:val="24"/>
          <w:szCs w:val="24"/>
        </w:rPr>
        <w:t>触文言文，</w:t>
      </w:r>
      <w:r>
        <w:rPr>
          <w:rFonts w:hAnsi="宋体" w:eastAsia="仿宋_GB2312" w:cs="Times New Roman"/>
          <w:sz w:val="24"/>
          <w:szCs w:val="24"/>
        </w:rPr>
        <w:t>逐句理解便于学生掌握，梳理学习方法并在后面运用方法理解内容，使课文学习分梯度、有层次。尤其是明白文言文中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仿宋_GB2312" w:cs="Times New Roman"/>
          <w:sz w:val="24"/>
          <w:szCs w:val="24"/>
        </w:rPr>
        <w:t>古今异义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仿宋_GB2312" w:cs="Times New Roman"/>
          <w:sz w:val="24"/>
          <w:szCs w:val="24"/>
        </w:rPr>
        <w:t>的词语，为以后学习打下基础。</w:t>
      </w:r>
    </w:p>
    <w:p w14:paraId="023CFEF2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课堂小结，布置作业</w:t>
      </w:r>
    </w:p>
    <w:p w14:paraId="790D308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仿宋_GB2312" w:cs="Times New Roman"/>
          <w:sz w:val="24"/>
          <w:szCs w:val="24"/>
        </w:rPr>
        <w:t>．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我们通过借助注释、联系上下文等方法理解了孔子读书的态度和方法，在学习中我们也要主动运用这些方法。</w:t>
      </w:r>
    </w:p>
    <w:p w14:paraId="0A0A8D4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2．布置作业：背诵第一则文言文。</w:t>
      </w:r>
    </w:p>
    <w:p w14:paraId="51D98646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第2课时</w:t>
      </w:r>
    </w:p>
    <w:p w14:paraId="210103D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3EFD5C3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1．会写“耻</w:t>
      </w:r>
      <w:r>
        <w:rPr>
          <w:rFonts w:hint="eastAsia" w:hAnsi="宋体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诲”等5个字。</w:t>
      </w:r>
    </w:p>
    <w:p w14:paraId="18C6C52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2．朗读、背诵、理解第二则文言文。</w:t>
      </w:r>
    </w:p>
    <w:p w14:paraId="1C854A1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3．运用学习第一则文言文的方法理解词句，知道“余”“急”的古今异义现象。</w:t>
      </w:r>
    </w:p>
    <w:p w14:paraId="4078630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4．梳理、概括孔子、朱熹介绍的读书态度和方法，能联系自己的读书体会，说说课文内容对自己的启发。</w:t>
      </w:r>
    </w:p>
    <w:p w14:paraId="657B8AA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5．端正学习态度，运用学到的方法，积累、运用读书名句。</w:t>
      </w:r>
    </w:p>
    <w:p w14:paraId="4F83590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CFC1186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背诵课文，导入新课</w:t>
      </w:r>
    </w:p>
    <w:p w14:paraId="6D393EA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上节课我们学习了孔子在《论语》中介绍的学习方</w:t>
      </w:r>
      <w:r>
        <w:rPr>
          <w:rFonts w:hint="eastAsia" w:hAnsi="宋体" w:cs="Times New Roman"/>
          <w:sz w:val="24"/>
          <w:szCs w:val="24"/>
        </w:rPr>
        <w:t>法，</w:t>
      </w:r>
      <w:r>
        <w:rPr>
          <w:rFonts w:hAnsi="宋体" w:cs="Times New Roman"/>
          <w:sz w:val="24"/>
          <w:szCs w:val="24"/>
        </w:rPr>
        <w:t>大家一定受益匪浅，也读了朱熹独特的学习方法，只有熟读成诵，我们才能更好地运用方法。谁能给大家背诵一下呢？</w:t>
      </w:r>
    </w:p>
    <w:p w14:paraId="4825B25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1．指名背诵第一则文言文，并说说大意。</w:t>
      </w:r>
    </w:p>
    <w:p w14:paraId="6937581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2．全班朗读第一、二则文言文。提示学生要读正确、读流利。</w:t>
      </w:r>
    </w:p>
    <w:p w14:paraId="0B3B7C2B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理解课文，练习背诵</w:t>
      </w:r>
    </w:p>
    <w:p w14:paraId="0417433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学习第二则文言文</w:t>
      </w:r>
    </w:p>
    <w:p w14:paraId="0B7AFE7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问题1：</w:t>
      </w:r>
      <w:r>
        <w:rPr>
          <w:rFonts w:hAnsi="宋体" w:cs="Times New Roman"/>
          <w:sz w:val="24"/>
          <w:szCs w:val="24"/>
        </w:rPr>
        <w:t>怎么理解“余尝谓读书有三到，谓心到、眼到、口到”？</w:t>
      </w:r>
    </w:p>
    <w:p w14:paraId="0880A80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预设1：</w:t>
      </w:r>
      <w:r>
        <w:rPr>
          <w:rFonts w:hAnsi="宋体" w:cs="Times New Roman"/>
          <w:sz w:val="24"/>
          <w:szCs w:val="24"/>
        </w:rPr>
        <w:t>余：古代表示“我”，</w:t>
      </w:r>
      <w:r>
        <w:rPr>
          <w:rFonts w:hint="eastAsia" w:hAnsi="宋体" w:cs="Times New Roman"/>
          <w:sz w:val="24"/>
          <w:szCs w:val="24"/>
        </w:rPr>
        <w:t>现在多表示“剩下，</w:t>
      </w:r>
      <w:r>
        <w:rPr>
          <w:rFonts w:hAnsi="宋体" w:cs="Times New Roman"/>
          <w:sz w:val="24"/>
          <w:szCs w:val="24"/>
        </w:rPr>
        <w:t>多出来”。</w:t>
      </w:r>
    </w:p>
    <w:p w14:paraId="4ABB8A2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古代“我”的称谓：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4"/>
        <w:gridCol w:w="3855"/>
      </w:tblGrid>
      <w:tr w14:paraId="3195C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4" w:type="dxa"/>
            <w:shd w:val="clear" w:color="auto" w:fill="auto"/>
            <w:vAlign w:val="center"/>
          </w:tcPr>
          <w:p w14:paraId="17B00A68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一般说法</w:t>
            </w:r>
          </w:p>
        </w:tc>
        <w:tc>
          <w:tcPr>
            <w:tcW w:w="3855" w:type="dxa"/>
            <w:shd w:val="clear" w:color="auto" w:fill="auto"/>
            <w:vAlign w:val="center"/>
          </w:tcPr>
          <w:p w14:paraId="578C0482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吾、我、余、予</w:t>
            </w:r>
          </w:p>
        </w:tc>
      </w:tr>
      <w:tr w14:paraId="58327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4" w:type="dxa"/>
            <w:shd w:val="clear" w:color="auto" w:fill="auto"/>
            <w:vAlign w:val="center"/>
          </w:tcPr>
          <w:p w14:paraId="5A4F62D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谦辞</w:t>
            </w:r>
          </w:p>
        </w:tc>
        <w:tc>
          <w:tcPr>
            <w:tcW w:w="3855" w:type="dxa"/>
            <w:shd w:val="clear" w:color="auto" w:fill="auto"/>
            <w:vAlign w:val="center"/>
          </w:tcPr>
          <w:p w14:paraId="328FF83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窃、愚、鄙人、在下</w:t>
            </w:r>
          </w:p>
        </w:tc>
      </w:tr>
      <w:tr w14:paraId="38A67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4" w:type="dxa"/>
            <w:shd w:val="clear" w:color="auto" w:fill="auto"/>
            <w:vAlign w:val="center"/>
          </w:tcPr>
          <w:p w14:paraId="22234C9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帝王</w:t>
            </w:r>
          </w:p>
        </w:tc>
        <w:tc>
          <w:tcPr>
            <w:tcW w:w="3855" w:type="dxa"/>
            <w:shd w:val="clear" w:color="auto" w:fill="auto"/>
            <w:vAlign w:val="center"/>
          </w:tcPr>
          <w:p w14:paraId="3F3D95BE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朕、寡人</w:t>
            </w:r>
          </w:p>
        </w:tc>
      </w:tr>
      <w:tr w14:paraId="0D1E9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4" w:type="dxa"/>
            <w:shd w:val="clear" w:color="auto" w:fill="auto"/>
            <w:vAlign w:val="center"/>
          </w:tcPr>
          <w:p w14:paraId="65C5EACC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官员</w:t>
            </w:r>
          </w:p>
        </w:tc>
        <w:tc>
          <w:tcPr>
            <w:tcW w:w="3855" w:type="dxa"/>
            <w:shd w:val="clear" w:color="auto" w:fill="auto"/>
            <w:vAlign w:val="center"/>
          </w:tcPr>
          <w:p w14:paraId="74CD901D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臣、下官</w:t>
            </w:r>
          </w:p>
        </w:tc>
      </w:tr>
      <w:tr w14:paraId="4E344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4" w:type="dxa"/>
            <w:shd w:val="clear" w:color="auto" w:fill="auto"/>
            <w:vAlign w:val="center"/>
          </w:tcPr>
          <w:p w14:paraId="6A05E5F5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晚辈</w:t>
            </w:r>
          </w:p>
        </w:tc>
        <w:tc>
          <w:tcPr>
            <w:tcW w:w="3855" w:type="dxa"/>
            <w:shd w:val="clear" w:color="auto" w:fill="auto"/>
            <w:vAlign w:val="center"/>
          </w:tcPr>
          <w:p w14:paraId="7F53D58C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晚生、晚辈、小生</w:t>
            </w:r>
          </w:p>
        </w:tc>
      </w:tr>
    </w:tbl>
    <w:p w14:paraId="473300C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预设2：</w:t>
      </w:r>
      <w:r>
        <w:rPr>
          <w:rFonts w:hAnsi="宋体" w:cs="Times New Roman"/>
          <w:sz w:val="24"/>
          <w:szCs w:val="24"/>
        </w:rPr>
        <w:t>“尝”的意思是“曾经”。</w:t>
      </w:r>
    </w:p>
    <w:p w14:paraId="0AB20A0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问题2：</w:t>
      </w:r>
      <w:r>
        <w:rPr>
          <w:rFonts w:hAnsi="宋体" w:cs="Times New Roman"/>
          <w:sz w:val="24"/>
          <w:szCs w:val="24"/>
        </w:rPr>
        <w:t>怎样理解“心不在此，则眼不看仔细，心眼既不专一，却只漫浪诵读，决不能记，记亦不能久也”？</w:t>
      </w:r>
    </w:p>
    <w:p w14:paraId="6B3723F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自由说怎</w:t>
      </w:r>
      <w:r>
        <w:rPr>
          <w:rFonts w:hint="eastAsia" w:hAnsi="宋体" w:cs="Times New Roman"/>
          <w:sz w:val="24"/>
          <w:szCs w:val="24"/>
        </w:rPr>
        <w:t>样读叫“漫浪诵读”。</w:t>
      </w:r>
      <w:r>
        <w:rPr>
          <w:rFonts w:hAnsi="宋体" w:cs="Times New Roman"/>
          <w:sz w:val="24"/>
          <w:szCs w:val="24"/>
        </w:rPr>
        <w:t>根据理解，指导学生读好这个句子。</w:t>
      </w:r>
    </w:p>
    <w:p w14:paraId="3D6C169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问题3：</w:t>
      </w:r>
      <w:r>
        <w:rPr>
          <w:rFonts w:hAnsi="宋体" w:cs="Times New Roman"/>
          <w:sz w:val="24"/>
          <w:szCs w:val="24"/>
        </w:rPr>
        <w:t>怎样理解“三到之中，心到最急”？学生猜想“急”的意思。</w:t>
      </w:r>
    </w:p>
    <w:p w14:paraId="76AAB67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(1)反复朗读：“三到之中，心到最急。心既到矣，眼口岂不到乎？”联系上下文猜一猜“急”的意思。</w:t>
      </w:r>
    </w:p>
    <w:p w14:paraId="0E27658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(2)出示“急”的意思：</w:t>
      </w:r>
    </w:p>
    <w:p w14:paraId="186F962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①想要马上达到某种目的而激动不安；着急。②使着急。③容易发怒；急躁。④很快而且猛烈；急促。⑤急迫；紧急。⑥紧急严重的事情。⑦对大家的事或别人的困难，赶</w:t>
      </w:r>
      <w:r>
        <w:rPr>
          <w:rFonts w:hint="eastAsia" w:hAnsi="宋体" w:eastAsia="楷体_GB2312" w:cs="Times New Roman"/>
          <w:sz w:val="24"/>
          <w:szCs w:val="24"/>
        </w:rPr>
        <w:t>快帮助。</w:t>
      </w:r>
    </w:p>
    <w:p w14:paraId="0BE1594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请同学们讨论选择“急”在句子中正确的意思。从“急”的义项中选择恰当的解释，检验自己猜得对不对。</w:t>
      </w:r>
    </w:p>
    <w:p w14:paraId="5F29AD5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(3)让学生说一说整个句子的意思。</w:t>
      </w:r>
    </w:p>
    <w:p w14:paraId="5CEC9CB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交流课文内容，练习背诵</w:t>
      </w:r>
    </w:p>
    <w:p w14:paraId="7C44900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1．默读课文，同桌相互说说文言文的大意，再在班内展示说。</w:t>
      </w:r>
    </w:p>
    <w:p w14:paraId="6D55AF2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2．自由朗读两则文言文并背诵。</w:t>
      </w:r>
    </w:p>
    <w:p w14:paraId="0B2CA8DC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借助注释，让学生自己理解句子意思及个别词语意思，教师给学生选项，学生选择，便于借助句子意思深刻领会词义。借助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仿宋_GB2312" w:cs="Times New Roman"/>
          <w:sz w:val="24"/>
          <w:szCs w:val="24"/>
        </w:rPr>
        <w:t>余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仿宋_GB2312" w:cs="Times New Roman"/>
          <w:sz w:val="24"/>
          <w:szCs w:val="24"/>
        </w:rPr>
        <w:t>的解释，引出古代对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仿宋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仿宋_GB2312" w:cs="Times New Roman"/>
          <w:sz w:val="24"/>
          <w:szCs w:val="24"/>
        </w:rPr>
        <w:t>的不同称呼，使学生感受传统文化的丰富多彩。</w:t>
      </w:r>
    </w:p>
    <w:p w14:paraId="4B56BCFD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梳理信息，交流感受</w:t>
      </w:r>
    </w:p>
    <w:p w14:paraId="599D112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仿宋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引导学生思考：两则文言文告诉了我们哪些读书态度和方法？</w:t>
      </w:r>
    </w:p>
    <w:p w14:paraId="79A8A7F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2．全班交流。教师相机归纳、板书。</w:t>
      </w:r>
    </w:p>
    <w:p w14:paraId="5640868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04767E3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根据大意，可以归纳出第一则文言文谈到的读书态度和方法。第一句告诉我们要有“实事求是”的学习态度。第二句告诉我们要勤奋学习，善于发问。第三句是说学习要持之以恒，不知疲倦。第四句是说任何人都不是生下来就什么都</w:t>
      </w:r>
      <w:r>
        <w:rPr>
          <w:rFonts w:hint="eastAsia" w:hAnsi="宋体" w:cs="Times New Roman"/>
          <w:sz w:val="24"/>
          <w:szCs w:val="24"/>
        </w:rPr>
        <w:t>知道的，</w:t>
      </w:r>
      <w:r>
        <w:rPr>
          <w:rFonts w:hAnsi="宋体" w:cs="Times New Roman"/>
          <w:sz w:val="24"/>
          <w:szCs w:val="24"/>
        </w:rPr>
        <w:t>只有勤奋努力，才能学有所成。第五句是说学习要抓紧时间，珍惜时间。第六句是说“学”与“思”的关系，思考必须建立在学习的基础上。</w:t>
      </w:r>
    </w:p>
    <w:p w14:paraId="50D4667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(2)第二则关于读书方法的关键词是“心到”“眼到”“口到”，它告诉我们，读书要做到心到、眼到、口到，尤其要做到心到。列出表格：</w:t>
      </w:r>
    </w:p>
    <w:tbl>
      <w:tblPr>
        <w:tblStyle w:val="14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5304"/>
        <w:gridCol w:w="2286"/>
      </w:tblGrid>
      <w:tr w14:paraId="57C0B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7F6B80F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5304" w:type="dxa"/>
            <w:shd w:val="clear" w:color="auto" w:fill="auto"/>
            <w:vAlign w:val="center"/>
          </w:tcPr>
          <w:p w14:paraId="5A3FD4EE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读书态度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5DD88DB1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读书方法</w:t>
            </w:r>
          </w:p>
        </w:tc>
      </w:tr>
      <w:tr w14:paraId="361F1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17B93276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第一则</w:t>
            </w:r>
          </w:p>
        </w:tc>
        <w:tc>
          <w:tcPr>
            <w:tcW w:w="5304" w:type="dxa"/>
            <w:shd w:val="clear" w:color="auto" w:fill="auto"/>
            <w:vAlign w:val="center"/>
          </w:tcPr>
          <w:p w14:paraId="36D19BB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勤奋学习、实事求是</w:t>
            </w:r>
          </w:p>
          <w:p w14:paraId="224F2322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持之以恒、勤奋努力</w:t>
            </w:r>
          </w:p>
          <w:p w14:paraId="5103818E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抓紧时间、珍惜时间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0E8DF2E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善于发问</w:t>
            </w:r>
          </w:p>
          <w:p w14:paraId="76ABC12F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学思结合</w:t>
            </w:r>
          </w:p>
        </w:tc>
      </w:tr>
      <w:tr w14:paraId="79DB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14:paraId="61A71C9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第二则</w:t>
            </w:r>
          </w:p>
        </w:tc>
        <w:tc>
          <w:tcPr>
            <w:tcW w:w="5304" w:type="dxa"/>
            <w:shd w:val="clear" w:color="auto" w:fill="auto"/>
            <w:vAlign w:val="center"/>
          </w:tcPr>
          <w:p w14:paraId="630031BB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286" w:type="dxa"/>
            <w:shd w:val="clear" w:color="auto" w:fill="auto"/>
            <w:vAlign w:val="center"/>
          </w:tcPr>
          <w:p w14:paraId="1980B637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“三到”</w:t>
            </w:r>
          </w:p>
        </w:tc>
      </w:tr>
    </w:tbl>
    <w:p w14:paraId="67CC808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3．引导学生联系自己的读书体会，说说课文中的读书方法对自己的启发。</w:t>
      </w:r>
    </w:p>
    <w:p w14:paraId="2B6CC51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(1)学生小组内交流：你用过课文中的读书方法吗？这些学习态度，哪些你做到了，哪些还没有做到？今后你在读书学习中应该注意些什么？</w:t>
      </w:r>
    </w:p>
    <w:p w14:paraId="06D1E6B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(2)小组推选代表，全班交流。</w:t>
      </w:r>
    </w:p>
    <w:p w14:paraId="3D8CA86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5825AB3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①平时我能够做到勤奋学习。但是，遇到不懂的问题，总是不好意思问别人。今后在学习中，我要多多向别人请教。</w:t>
      </w:r>
    </w:p>
    <w:p w14:paraId="3827675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②我在读书时能做到“眼到”“口到”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但有时不能做到“心到”。今后在读书时，我要更加用心、专心。</w:t>
      </w:r>
    </w:p>
    <w:p w14:paraId="5AB3DA61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在理解课文意思的基础上，引导学生归类、交流感受，实质是对课文内容更深入的理解，也无形中勾起学生的已有经验，把本节课学到的新知识纳入原有的知识结构中。</w:t>
      </w:r>
    </w:p>
    <w:p w14:paraId="40CDA569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指导写字</w:t>
      </w:r>
    </w:p>
    <w:p w14:paraId="2C4F95B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仿宋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出示要求会写的5个字，引导学生观察，说说写这些字要注意些什么，并交流怎样把生字写正确、写美观。</w:t>
      </w:r>
    </w:p>
    <w:p w14:paraId="043089B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教师点拨：</w:t>
      </w:r>
    </w:p>
    <w:p w14:paraId="5521113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(1)同样是左右结构的字，“诲、谓、诵”书写时要注意左窄右宽，“耻”是左右等宽。</w:t>
      </w:r>
    </w:p>
    <w:p w14:paraId="709D767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(2)“岂”上下结构，上小下大。书写时要注意下面是“己”，最后一笔竖弯钩的竖要短，弯要长，能托住整个字。</w:t>
      </w:r>
    </w:p>
    <w:p w14:paraId="63D6A21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2．学生练习书写，师生共同评价，教师对书写不正确或不美观的生字进行示范指导。</w:t>
      </w:r>
    </w:p>
    <w:p w14:paraId="3C1678D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3．学生再次练习书写。</w:t>
      </w:r>
    </w:p>
    <w:p w14:paraId="4527D548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生字分类别指导书写，便于发现特点，找到书写规律。确定主笔的写法和位置，就能确定一个字的结构，这是写好字的捷径。</w:t>
      </w:r>
    </w:p>
    <w:p w14:paraId="242E15EE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拓展阅读，</w:t>
      </w:r>
      <w:r>
        <w:rPr>
          <w:rFonts w:hint="eastAsia" w:hAnsi="宋体" w:eastAsia="黑体" w:cs="Times New Roman"/>
          <w:sz w:val="24"/>
          <w:szCs w:val="24"/>
        </w:rPr>
        <w:t>积累运用</w:t>
      </w:r>
    </w:p>
    <w:p w14:paraId="170C1F1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通过本课的学习，你有哪些收获呢？除了本课学习的内容，还有好多学习方法、读书故事、学习名言可以给我们启示。相信在学习中你会逐步运用这些方法。比如：</w:t>
      </w:r>
    </w:p>
    <w:p w14:paraId="4711376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1．鲁迅“五到”读书法：心到、口到、眼到、手到、脑到。</w:t>
      </w:r>
    </w:p>
    <w:p w14:paraId="7A865A6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鲁迅先生能写出那么多不朽的作品，主要受益于他的博读。他读书做到了“五到”，即心到、口到、眼到、手到、脑到。“心到”指读书时要精力集中，专心致志；“口到”就是读出声来，有些文章还要大声地、有感情地朗</w:t>
      </w:r>
      <w:r>
        <w:rPr>
          <w:rFonts w:hint="eastAsia" w:hAnsi="宋体" w:cs="Times New Roman"/>
          <w:sz w:val="24"/>
          <w:szCs w:val="24"/>
        </w:rPr>
        <w:t>读</w:t>
      </w:r>
      <w:r>
        <w:rPr>
          <w:rFonts w:hAnsi="宋体" w:cs="Times New Roman"/>
          <w:sz w:val="24"/>
          <w:szCs w:val="24"/>
        </w:rPr>
        <w:t>；“眼到”指目光专注，善于观察、善于发现；“手到”指边读边做笔记；“脑到”指对书中内容的理解。</w:t>
      </w:r>
    </w:p>
    <w:p w14:paraId="0F471D4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2．积累学习名言警句。</w:t>
      </w:r>
    </w:p>
    <w:p w14:paraId="363AEA0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学而不思则罔，思而不学则殆。——《论语》</w:t>
      </w:r>
    </w:p>
    <w:p w14:paraId="0D3037E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学而时习之，不亦说乎？——《论语》</w:t>
      </w:r>
    </w:p>
    <w:p w14:paraId="0DDE59D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临渊羡鱼，不如退而结网。——《汉书·董仲舒传》</w:t>
      </w:r>
    </w:p>
    <w:p w14:paraId="26293F4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读书破万卷，下笔如有神。——唐·杜甫</w:t>
      </w:r>
    </w:p>
    <w:p w14:paraId="176E880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3．古代读书故事。</w:t>
      </w:r>
    </w:p>
    <w:p w14:paraId="06643AB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“囊萤映雪”的故事。</w:t>
      </w:r>
    </w:p>
    <w:p w14:paraId="4E2D9310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语文学习最重要的途径就是读书，老师讲得再好，也只是学生学习的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仿宋_GB2312" w:cs="Times New Roman"/>
          <w:sz w:val="24"/>
          <w:szCs w:val="24"/>
        </w:rPr>
        <w:t>拐棍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仿宋_GB2312" w:cs="Times New Roman"/>
          <w:sz w:val="24"/>
          <w:szCs w:val="24"/>
        </w:rPr>
        <w:t>而已，在掌握本课内容</w:t>
      </w:r>
      <w:r>
        <w:rPr>
          <w:rFonts w:hint="eastAsia" w:hAnsi="宋体" w:eastAsia="仿宋_GB2312" w:cs="Times New Roman"/>
          <w:sz w:val="24"/>
          <w:szCs w:val="24"/>
        </w:rPr>
        <w:t>的基础上，</w:t>
      </w:r>
      <w:r>
        <w:rPr>
          <w:rFonts w:hAnsi="宋体" w:eastAsia="仿宋_GB2312" w:cs="Times New Roman"/>
          <w:sz w:val="24"/>
          <w:szCs w:val="24"/>
        </w:rPr>
        <w:t>拓展延伸到课外，鼓励学生掌握更多的学习方法，对本节课的学习尤为重要。</w:t>
      </w:r>
    </w:p>
    <w:p w14:paraId="456FAE12">
      <w:pPr>
        <w:pStyle w:val="10"/>
        <w:spacing w:line="360" w:lineRule="auto"/>
        <w:ind w:firstLine="480" w:firstLineChars="200"/>
        <w:rPr>
          <w:rFonts w:hint="eastAsia"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6875B989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/>
          <w:sz w:val="24"/>
          <w:szCs w:val="24"/>
        </w:rPr>
        <w:drawing>
          <wp:inline distT="0" distB="0" distL="0" distR="0">
            <wp:extent cx="2694305" cy="148590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6234" cy="1487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5BA42D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学生课堂活动卡</w:t>
      </w:r>
    </w:p>
    <w:tbl>
      <w:tblPr>
        <w:tblStyle w:val="14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3412"/>
        <w:gridCol w:w="2158"/>
        <w:gridCol w:w="1289"/>
      </w:tblGrid>
      <w:tr w14:paraId="1A164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7" w:type="dxa"/>
            <w:shd w:val="clear" w:color="auto" w:fill="auto"/>
            <w:vAlign w:val="center"/>
          </w:tcPr>
          <w:p w14:paraId="61B5F8EF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课　题</w:t>
            </w:r>
          </w:p>
        </w:tc>
        <w:tc>
          <w:tcPr>
            <w:tcW w:w="3412" w:type="dxa"/>
            <w:shd w:val="clear" w:color="auto" w:fill="auto"/>
            <w:vAlign w:val="center"/>
          </w:tcPr>
          <w:p w14:paraId="1D1BD792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古人谈读书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029C15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  </w:t>
            </w:r>
            <w:r>
              <w:rPr>
                <w:rFonts w:hAnsi="宋体" w:eastAsia="黑体" w:cs="Times New Roman"/>
                <w:sz w:val="24"/>
                <w:szCs w:val="24"/>
              </w:rPr>
              <w:t>用　时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CEB4DD8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3～5分钟</w:t>
            </w:r>
          </w:p>
        </w:tc>
      </w:tr>
      <w:tr w14:paraId="3DE8F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7" w:type="dxa"/>
            <w:vMerge w:val="restart"/>
            <w:shd w:val="clear" w:color="auto" w:fill="auto"/>
            <w:vAlign w:val="center"/>
          </w:tcPr>
          <w:p w14:paraId="62DB598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活动内容</w:t>
            </w:r>
          </w:p>
        </w:tc>
        <w:tc>
          <w:tcPr>
            <w:tcW w:w="6859" w:type="dxa"/>
            <w:gridSpan w:val="3"/>
            <w:shd w:val="clear" w:color="auto" w:fill="auto"/>
            <w:vAlign w:val="center"/>
          </w:tcPr>
          <w:p w14:paraId="1405CF28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品读文言文，细细体会：古人是怎样看待读书的？</w:t>
            </w:r>
          </w:p>
        </w:tc>
      </w:tr>
      <w:tr w14:paraId="75C8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7" w:type="dxa"/>
            <w:vMerge w:val="continue"/>
            <w:shd w:val="clear" w:color="auto" w:fill="auto"/>
            <w:vAlign w:val="center"/>
          </w:tcPr>
          <w:p w14:paraId="2EAB611A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7FB8EA4C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《论语》</w:t>
            </w:r>
          </w:p>
        </w:tc>
        <w:tc>
          <w:tcPr>
            <w:tcW w:w="3447" w:type="dxa"/>
            <w:gridSpan w:val="2"/>
            <w:shd w:val="clear" w:color="auto" w:fill="auto"/>
            <w:vAlign w:val="center"/>
          </w:tcPr>
          <w:p w14:paraId="74016D3A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朱熹</w:t>
            </w:r>
          </w:p>
        </w:tc>
      </w:tr>
      <w:tr w14:paraId="7B84B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7" w:type="dxa"/>
            <w:vMerge w:val="continue"/>
            <w:shd w:val="clear" w:color="auto" w:fill="auto"/>
            <w:vAlign w:val="center"/>
          </w:tcPr>
          <w:p w14:paraId="1E88C02E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14:paraId="7F417076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447" w:type="dxa"/>
            <w:gridSpan w:val="2"/>
            <w:shd w:val="clear" w:color="auto" w:fill="auto"/>
            <w:vAlign w:val="center"/>
          </w:tcPr>
          <w:p w14:paraId="0C845136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  <w:p w14:paraId="4B2C3F4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2D46053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★活动建议</w:t>
      </w:r>
    </w:p>
    <w:p w14:paraId="7243279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1．借助注释，读懂课文。画出文中的关键词句。</w:t>
      </w:r>
    </w:p>
    <w:p w14:paraId="1553659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2．抓住关键词语或关键句子理解古人对读书的见解，填写活动卡。</w:t>
      </w:r>
    </w:p>
    <w:p w14:paraId="3B6D042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3．大胆和同学交流你的想法，也要根据大家的意见修改自己的活动卡。</w:t>
      </w:r>
    </w:p>
    <w:p w14:paraId="6044619E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br w:type="page"/>
      </w:r>
      <w:r>
        <w:rPr>
          <w:rFonts w:hAnsi="宋体" w:eastAsia="黑体" w:cs="Times New Roman"/>
          <w:sz w:val="24"/>
          <w:szCs w:val="24"/>
        </w:rPr>
        <w:t>学生课前预学案</w:t>
      </w:r>
    </w:p>
    <w:tbl>
      <w:tblPr>
        <w:tblStyle w:val="14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531"/>
        <w:gridCol w:w="595"/>
        <w:gridCol w:w="2551"/>
        <w:gridCol w:w="3402"/>
      </w:tblGrid>
      <w:tr w14:paraId="5DAA9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  <w:vAlign w:val="center"/>
          </w:tcPr>
          <w:p w14:paraId="3A61DF5D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课　题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7C2BB0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古人谈读</w:t>
            </w:r>
            <w:r>
              <w:rPr>
                <w:rFonts w:hint="eastAsia" w:hAnsi="宋体" w:cs="Times New Roman"/>
                <w:sz w:val="24"/>
                <w:szCs w:val="24"/>
              </w:rPr>
              <w:t>书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8D6630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时间建议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962232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14:paraId="2D433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vMerge w:val="restart"/>
            <w:shd w:val="clear" w:color="auto" w:fill="auto"/>
            <w:vAlign w:val="center"/>
          </w:tcPr>
          <w:p w14:paraId="750C099B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预</w:t>
            </w:r>
          </w:p>
          <w:p w14:paraId="69D97A1D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学</w:t>
            </w:r>
          </w:p>
          <w:p w14:paraId="572E9FA6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内</w:t>
            </w:r>
          </w:p>
          <w:p w14:paraId="32AF797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容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10D3EC7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6548" w:type="dxa"/>
            <w:gridSpan w:val="3"/>
            <w:shd w:val="clear" w:color="auto" w:fill="auto"/>
            <w:vAlign w:val="center"/>
          </w:tcPr>
          <w:p w14:paraId="2D22DB49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默读一遍，朗读两遍，读通、读顺课文。</w:t>
            </w:r>
          </w:p>
        </w:tc>
      </w:tr>
      <w:tr w14:paraId="41666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vMerge w:val="continue"/>
            <w:shd w:val="clear" w:color="auto" w:fill="auto"/>
            <w:vAlign w:val="center"/>
          </w:tcPr>
          <w:p w14:paraId="074A23D4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424D2DD8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6548" w:type="dxa"/>
            <w:gridSpan w:val="3"/>
            <w:shd w:val="clear" w:color="auto" w:fill="auto"/>
            <w:vAlign w:val="center"/>
          </w:tcPr>
          <w:p w14:paraId="25E4894B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1.读读本课的生字，给下面的字补全音节。</w:t>
            </w:r>
          </w:p>
          <w:p w14:paraId="4B73C335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____ǐ</w:t>
            </w:r>
            <w:r>
              <w:rPr>
                <w:rFonts w:hint="eastAsia" w:hAnsi="宋体" w:cs="Times New Roman"/>
                <w:sz w:val="24"/>
                <w:szCs w:val="24"/>
              </w:rPr>
              <w:t>　　</w:t>
            </w:r>
            <w:r>
              <w:rPr>
                <w:rFonts w:hAnsi="宋体" w:cs="Times New Roman"/>
                <w:sz w:val="24"/>
                <w:szCs w:val="24"/>
              </w:rPr>
              <w:t>　____ǐ</w:t>
            </w:r>
            <w:r>
              <w:rPr>
                <w:rFonts w:hint="eastAsia" w:hAnsi="宋体" w:cs="Times New Roman"/>
                <w:sz w:val="24"/>
                <w:szCs w:val="24"/>
              </w:rPr>
              <w:t>　　</w:t>
            </w:r>
            <w:r>
              <w:rPr>
                <w:rFonts w:hAnsi="宋体" w:cs="Times New Roman"/>
                <w:sz w:val="24"/>
                <w:szCs w:val="24"/>
              </w:rPr>
              <w:t>　____ǐ</w:t>
            </w:r>
            <w:r>
              <w:rPr>
                <w:rFonts w:hint="eastAsia" w:hAnsi="宋体" w:cs="Times New Roman"/>
                <w:sz w:val="24"/>
                <w:szCs w:val="24"/>
              </w:rPr>
              <w:t>　　</w:t>
            </w:r>
            <w:r>
              <w:rPr>
                <w:rFonts w:hAnsi="宋体" w:cs="Times New Roman"/>
                <w:sz w:val="24"/>
                <w:szCs w:val="24"/>
              </w:rPr>
              <w:t>　____ǐn</w:t>
            </w:r>
          </w:p>
          <w:p w14:paraId="3314B49A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　</w:t>
            </w:r>
            <w:r>
              <w:rPr>
                <w:rFonts w:hAnsi="宋体" w:cs="Times New Roman"/>
                <w:sz w:val="24"/>
                <w:szCs w:val="24"/>
              </w:rPr>
              <w:t>耻　</w:t>
            </w:r>
            <w:r>
              <w:rPr>
                <w:rFonts w:hint="eastAsia" w:hAnsi="宋体" w:cs="Times New Roman"/>
                <w:sz w:val="24"/>
                <w:szCs w:val="24"/>
              </w:rPr>
              <w:t>　　　</w:t>
            </w:r>
            <w:r>
              <w:rPr>
                <w:rFonts w:hAnsi="宋体" w:cs="Times New Roman"/>
                <w:sz w:val="24"/>
                <w:szCs w:val="24"/>
              </w:rPr>
              <w:t>矣</w:t>
            </w:r>
            <w:r>
              <w:rPr>
                <w:rFonts w:hint="eastAsia" w:hAnsi="宋体" w:cs="Times New Roman"/>
                <w:sz w:val="24"/>
                <w:szCs w:val="24"/>
              </w:rPr>
              <w:t xml:space="preserve">        </w:t>
            </w:r>
            <w:r>
              <w:rPr>
                <w:rFonts w:hAnsi="宋体" w:cs="Times New Roman"/>
                <w:sz w:val="24"/>
                <w:szCs w:val="24"/>
              </w:rPr>
              <w:t>　岂</w:t>
            </w:r>
            <w:r>
              <w:rPr>
                <w:rFonts w:hint="eastAsia" w:hAnsi="宋体" w:cs="Times New Roman"/>
                <w:sz w:val="24"/>
                <w:szCs w:val="24"/>
              </w:rPr>
              <w:t xml:space="preserve">       </w:t>
            </w:r>
            <w:r>
              <w:rPr>
                <w:rFonts w:hAnsi="宋体" w:cs="Times New Roman"/>
                <w:sz w:val="24"/>
                <w:szCs w:val="24"/>
              </w:rPr>
              <w:t>　寝</w:t>
            </w:r>
          </w:p>
          <w:p w14:paraId="3C614473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2．工整地抄写下面的词语。</w:t>
            </w:r>
          </w:p>
          <w:p w14:paraId="7A8BB4B5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drawing>
                <wp:inline distT="0" distB="0" distL="0" distR="0">
                  <wp:extent cx="4012565" cy="477520"/>
                  <wp:effectExtent l="19050" t="0" r="698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2565" cy="477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A08827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3．读古文，试着理解下面的字词，并填空。</w:t>
            </w:r>
          </w:p>
          <w:p w14:paraId="1594188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谓　　漫浪　　敏　　好　　知　　识　　厌　　诲</w:t>
            </w:r>
          </w:p>
          <w:p w14:paraId="6D7D12FC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教诲。(　　　)　　满足。(　　　)　　喜好。(　　　)　　聪敏。(　　　)</w:t>
            </w:r>
          </w:p>
          <w:p w14:paraId="724E2CA1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同“智”，智慧。(　　)　说。(　　)　 　随意。(　　)　</w:t>
            </w:r>
          </w:p>
          <w:p w14:paraId="3C1309A9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记住。(　　　)</w:t>
            </w:r>
          </w:p>
        </w:tc>
      </w:tr>
      <w:tr w14:paraId="6063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vMerge w:val="continue"/>
            <w:shd w:val="clear" w:color="auto" w:fill="auto"/>
            <w:vAlign w:val="center"/>
          </w:tcPr>
          <w:p w14:paraId="1039907E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0B68E97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6548" w:type="dxa"/>
            <w:gridSpan w:val="3"/>
            <w:shd w:val="clear" w:color="auto" w:fill="auto"/>
            <w:vAlign w:val="center"/>
          </w:tcPr>
          <w:p w14:paraId="52D092AE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1.“敏而好学，不耻下问”出自(　　　　)，意思是(　　　　　　　　　　　)。</w:t>
            </w:r>
          </w:p>
          <w:p w14:paraId="2697F601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2．余尝谓读书有三到，谓(　　　)、(　　　)、(　　　)。</w:t>
            </w:r>
          </w:p>
          <w:p w14:paraId="2EC54135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3．学如不及，(　　　　　　　　　　)。</w:t>
            </w:r>
          </w:p>
        </w:tc>
      </w:tr>
      <w:tr w14:paraId="64033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vMerge w:val="continue"/>
            <w:shd w:val="clear" w:color="auto" w:fill="auto"/>
            <w:vAlign w:val="center"/>
          </w:tcPr>
          <w:p w14:paraId="5DB1D404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0A1F7426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6548" w:type="dxa"/>
            <w:gridSpan w:val="3"/>
            <w:shd w:val="clear" w:color="auto" w:fill="auto"/>
            <w:vAlign w:val="center"/>
          </w:tcPr>
          <w:p w14:paraId="73B78F59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搜集朱熹的相关资料。</w:t>
            </w:r>
          </w:p>
        </w:tc>
      </w:tr>
      <w:tr w14:paraId="42E39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vMerge w:val="continue"/>
            <w:shd w:val="clear" w:color="auto" w:fill="auto"/>
            <w:vAlign w:val="center"/>
          </w:tcPr>
          <w:p w14:paraId="6A48FF9F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0D836A4E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6548" w:type="dxa"/>
            <w:gridSpan w:val="3"/>
            <w:shd w:val="clear" w:color="auto" w:fill="auto"/>
            <w:vAlign w:val="center"/>
          </w:tcPr>
          <w:p w14:paraId="0591E943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读了课文，我还要在上课时努</w:t>
            </w:r>
            <w:r>
              <w:rPr>
                <w:rFonts w:hint="eastAsia" w:hAnsi="宋体" w:cs="Times New Roman"/>
                <w:sz w:val="24"/>
                <w:szCs w:val="24"/>
              </w:rPr>
              <w:t>力弄懂下面的问题</w:t>
            </w:r>
            <w:r>
              <w:rPr>
                <w:rFonts w:hAnsi="宋体" w:cs="Times New Roman"/>
                <w:sz w:val="24"/>
                <w:szCs w:val="24"/>
              </w:rPr>
              <w:t>：</w:t>
            </w:r>
          </w:p>
          <w:p w14:paraId="49AE6849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</w:t>
            </w:r>
          </w:p>
        </w:tc>
      </w:tr>
    </w:tbl>
    <w:p w14:paraId="2FB7A1F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D7E9E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C3568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EADD9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25FD6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67314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CA850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46FE3"/>
    <w:rsid w:val="0005202B"/>
    <w:rsid w:val="000851DF"/>
    <w:rsid w:val="00086EEB"/>
    <w:rsid w:val="00097DE3"/>
    <w:rsid w:val="000A3C2F"/>
    <w:rsid w:val="000A4136"/>
    <w:rsid w:val="000D2A00"/>
    <w:rsid w:val="000D2B1A"/>
    <w:rsid w:val="000E265B"/>
    <w:rsid w:val="000F10CF"/>
    <w:rsid w:val="000F304A"/>
    <w:rsid w:val="000F4692"/>
    <w:rsid w:val="00104748"/>
    <w:rsid w:val="0012024B"/>
    <w:rsid w:val="00122E67"/>
    <w:rsid w:val="001233C5"/>
    <w:rsid w:val="00130491"/>
    <w:rsid w:val="001364A3"/>
    <w:rsid w:val="00141AEE"/>
    <w:rsid w:val="001476C9"/>
    <w:rsid w:val="00150E3D"/>
    <w:rsid w:val="00165493"/>
    <w:rsid w:val="00174FDE"/>
    <w:rsid w:val="00182C18"/>
    <w:rsid w:val="00184579"/>
    <w:rsid w:val="001904A6"/>
    <w:rsid w:val="00191039"/>
    <w:rsid w:val="001C3179"/>
    <w:rsid w:val="001D44A3"/>
    <w:rsid w:val="001E0A7A"/>
    <w:rsid w:val="001E6926"/>
    <w:rsid w:val="001F58E5"/>
    <w:rsid w:val="00207B42"/>
    <w:rsid w:val="00213F79"/>
    <w:rsid w:val="00215FC9"/>
    <w:rsid w:val="00231A68"/>
    <w:rsid w:val="002368A4"/>
    <w:rsid w:val="00253DCD"/>
    <w:rsid w:val="00280747"/>
    <w:rsid w:val="0029354B"/>
    <w:rsid w:val="002A6D4F"/>
    <w:rsid w:val="002D283F"/>
    <w:rsid w:val="002E3B65"/>
    <w:rsid w:val="002F627B"/>
    <w:rsid w:val="00300AAE"/>
    <w:rsid w:val="003025A8"/>
    <w:rsid w:val="0030390A"/>
    <w:rsid w:val="0031250A"/>
    <w:rsid w:val="003174C7"/>
    <w:rsid w:val="00324EA5"/>
    <w:rsid w:val="00344DC9"/>
    <w:rsid w:val="003717A8"/>
    <w:rsid w:val="0038344B"/>
    <w:rsid w:val="003876DC"/>
    <w:rsid w:val="003951B9"/>
    <w:rsid w:val="003B410D"/>
    <w:rsid w:val="003E7105"/>
    <w:rsid w:val="004132BC"/>
    <w:rsid w:val="00422447"/>
    <w:rsid w:val="00442837"/>
    <w:rsid w:val="00446663"/>
    <w:rsid w:val="004507BA"/>
    <w:rsid w:val="00453BB3"/>
    <w:rsid w:val="004565FF"/>
    <w:rsid w:val="00463CAA"/>
    <w:rsid w:val="00470160"/>
    <w:rsid w:val="00480BE0"/>
    <w:rsid w:val="00492DCF"/>
    <w:rsid w:val="0049523A"/>
    <w:rsid w:val="004A3F3C"/>
    <w:rsid w:val="004C0EF2"/>
    <w:rsid w:val="004F20C4"/>
    <w:rsid w:val="004F7CDF"/>
    <w:rsid w:val="005066D5"/>
    <w:rsid w:val="00510F35"/>
    <w:rsid w:val="00526C54"/>
    <w:rsid w:val="005400F6"/>
    <w:rsid w:val="00542575"/>
    <w:rsid w:val="0054295F"/>
    <w:rsid w:val="00545705"/>
    <w:rsid w:val="005471F8"/>
    <w:rsid w:val="0055301B"/>
    <w:rsid w:val="00560B73"/>
    <w:rsid w:val="005623BC"/>
    <w:rsid w:val="00562C2D"/>
    <w:rsid w:val="00572CD0"/>
    <w:rsid w:val="00576161"/>
    <w:rsid w:val="0058069E"/>
    <w:rsid w:val="00582D08"/>
    <w:rsid w:val="0059766F"/>
    <w:rsid w:val="005A2C6F"/>
    <w:rsid w:val="005B756E"/>
    <w:rsid w:val="005C3FEB"/>
    <w:rsid w:val="005C662E"/>
    <w:rsid w:val="005E0597"/>
    <w:rsid w:val="00607E78"/>
    <w:rsid w:val="00620252"/>
    <w:rsid w:val="006207EC"/>
    <w:rsid w:val="00624936"/>
    <w:rsid w:val="00626145"/>
    <w:rsid w:val="00652366"/>
    <w:rsid w:val="00661EF0"/>
    <w:rsid w:val="00675EE4"/>
    <w:rsid w:val="0068014A"/>
    <w:rsid w:val="006B301F"/>
    <w:rsid w:val="006C221F"/>
    <w:rsid w:val="006C5066"/>
    <w:rsid w:val="006D04B7"/>
    <w:rsid w:val="006D3B7F"/>
    <w:rsid w:val="006D41B6"/>
    <w:rsid w:val="006E1B79"/>
    <w:rsid w:val="006E62D0"/>
    <w:rsid w:val="0070019E"/>
    <w:rsid w:val="00702F0C"/>
    <w:rsid w:val="007102AE"/>
    <w:rsid w:val="0071234D"/>
    <w:rsid w:val="00717F15"/>
    <w:rsid w:val="0073619B"/>
    <w:rsid w:val="007544B7"/>
    <w:rsid w:val="00772A13"/>
    <w:rsid w:val="00782BDF"/>
    <w:rsid w:val="007954CD"/>
    <w:rsid w:val="00795BA3"/>
    <w:rsid w:val="007A29FB"/>
    <w:rsid w:val="007D7B53"/>
    <w:rsid w:val="007E51D6"/>
    <w:rsid w:val="007F1787"/>
    <w:rsid w:val="007F7E71"/>
    <w:rsid w:val="00806E4F"/>
    <w:rsid w:val="0081189D"/>
    <w:rsid w:val="00816718"/>
    <w:rsid w:val="008455DA"/>
    <w:rsid w:val="008604D0"/>
    <w:rsid w:val="008739B2"/>
    <w:rsid w:val="00890CBA"/>
    <w:rsid w:val="008A258B"/>
    <w:rsid w:val="008B4C77"/>
    <w:rsid w:val="008C0597"/>
    <w:rsid w:val="008C0F02"/>
    <w:rsid w:val="008C2602"/>
    <w:rsid w:val="008C54F0"/>
    <w:rsid w:val="008C5D4D"/>
    <w:rsid w:val="008D0B34"/>
    <w:rsid w:val="008D1757"/>
    <w:rsid w:val="008E2F30"/>
    <w:rsid w:val="009136EF"/>
    <w:rsid w:val="0091663C"/>
    <w:rsid w:val="0092072A"/>
    <w:rsid w:val="00951C8A"/>
    <w:rsid w:val="0095531E"/>
    <w:rsid w:val="00961455"/>
    <w:rsid w:val="00972241"/>
    <w:rsid w:val="00981932"/>
    <w:rsid w:val="00982150"/>
    <w:rsid w:val="00983221"/>
    <w:rsid w:val="009859A9"/>
    <w:rsid w:val="009A3E00"/>
    <w:rsid w:val="009C6E5E"/>
    <w:rsid w:val="009E0E57"/>
    <w:rsid w:val="009E17B1"/>
    <w:rsid w:val="009F7028"/>
    <w:rsid w:val="00A1023C"/>
    <w:rsid w:val="00A11921"/>
    <w:rsid w:val="00A12E73"/>
    <w:rsid w:val="00A13094"/>
    <w:rsid w:val="00A166F5"/>
    <w:rsid w:val="00A3492A"/>
    <w:rsid w:val="00A46416"/>
    <w:rsid w:val="00A63A38"/>
    <w:rsid w:val="00A66279"/>
    <w:rsid w:val="00A67785"/>
    <w:rsid w:val="00A72293"/>
    <w:rsid w:val="00A72C79"/>
    <w:rsid w:val="00A93558"/>
    <w:rsid w:val="00A95CD4"/>
    <w:rsid w:val="00AA51A6"/>
    <w:rsid w:val="00AB771F"/>
    <w:rsid w:val="00AC15FB"/>
    <w:rsid w:val="00AC7D61"/>
    <w:rsid w:val="00AE122A"/>
    <w:rsid w:val="00AE2B83"/>
    <w:rsid w:val="00AE30E7"/>
    <w:rsid w:val="00AE5B68"/>
    <w:rsid w:val="00AF083D"/>
    <w:rsid w:val="00AF0B97"/>
    <w:rsid w:val="00AF5C67"/>
    <w:rsid w:val="00B04683"/>
    <w:rsid w:val="00B074BF"/>
    <w:rsid w:val="00B10E3E"/>
    <w:rsid w:val="00B15CB6"/>
    <w:rsid w:val="00B433C7"/>
    <w:rsid w:val="00B4533E"/>
    <w:rsid w:val="00B45425"/>
    <w:rsid w:val="00B46152"/>
    <w:rsid w:val="00B471AB"/>
    <w:rsid w:val="00B50A30"/>
    <w:rsid w:val="00B50B09"/>
    <w:rsid w:val="00B618AE"/>
    <w:rsid w:val="00B65F25"/>
    <w:rsid w:val="00B7175D"/>
    <w:rsid w:val="00B73B04"/>
    <w:rsid w:val="00B817F6"/>
    <w:rsid w:val="00BA1FC3"/>
    <w:rsid w:val="00BB0B75"/>
    <w:rsid w:val="00BB516C"/>
    <w:rsid w:val="00BB56CB"/>
    <w:rsid w:val="00BC5CF0"/>
    <w:rsid w:val="00BD2560"/>
    <w:rsid w:val="00BE696E"/>
    <w:rsid w:val="00BF683A"/>
    <w:rsid w:val="00C15340"/>
    <w:rsid w:val="00C1709B"/>
    <w:rsid w:val="00C2476F"/>
    <w:rsid w:val="00C3048C"/>
    <w:rsid w:val="00C31A50"/>
    <w:rsid w:val="00C37DE6"/>
    <w:rsid w:val="00C5314B"/>
    <w:rsid w:val="00C540CD"/>
    <w:rsid w:val="00C80ED2"/>
    <w:rsid w:val="00C836FA"/>
    <w:rsid w:val="00C86F2C"/>
    <w:rsid w:val="00C952C7"/>
    <w:rsid w:val="00CA3034"/>
    <w:rsid w:val="00CB210F"/>
    <w:rsid w:val="00CB6064"/>
    <w:rsid w:val="00CC689A"/>
    <w:rsid w:val="00CD4CA5"/>
    <w:rsid w:val="00CE1C1C"/>
    <w:rsid w:val="00CE4216"/>
    <w:rsid w:val="00CE69CF"/>
    <w:rsid w:val="00CF2F70"/>
    <w:rsid w:val="00CF65F0"/>
    <w:rsid w:val="00D03B57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52EF5"/>
    <w:rsid w:val="00D55E42"/>
    <w:rsid w:val="00D679FB"/>
    <w:rsid w:val="00D74621"/>
    <w:rsid w:val="00D85346"/>
    <w:rsid w:val="00D95ECC"/>
    <w:rsid w:val="00DB2251"/>
    <w:rsid w:val="00DC3FA1"/>
    <w:rsid w:val="00DD21E6"/>
    <w:rsid w:val="00DE3244"/>
    <w:rsid w:val="00DE49B2"/>
    <w:rsid w:val="00DE4FC8"/>
    <w:rsid w:val="00DF3DB4"/>
    <w:rsid w:val="00DF5B86"/>
    <w:rsid w:val="00E05EC0"/>
    <w:rsid w:val="00E10EA1"/>
    <w:rsid w:val="00E12AD3"/>
    <w:rsid w:val="00E12DCC"/>
    <w:rsid w:val="00E4164E"/>
    <w:rsid w:val="00E427F6"/>
    <w:rsid w:val="00E45B8D"/>
    <w:rsid w:val="00E53A19"/>
    <w:rsid w:val="00E62F84"/>
    <w:rsid w:val="00E73C32"/>
    <w:rsid w:val="00E74286"/>
    <w:rsid w:val="00E74427"/>
    <w:rsid w:val="00E81E49"/>
    <w:rsid w:val="00E85D26"/>
    <w:rsid w:val="00E959BA"/>
    <w:rsid w:val="00EA343E"/>
    <w:rsid w:val="00EA5ABD"/>
    <w:rsid w:val="00ED4A36"/>
    <w:rsid w:val="00EE3076"/>
    <w:rsid w:val="00EE521E"/>
    <w:rsid w:val="00EF1267"/>
    <w:rsid w:val="00EF56BC"/>
    <w:rsid w:val="00F01EFD"/>
    <w:rsid w:val="00F05993"/>
    <w:rsid w:val="00F2568C"/>
    <w:rsid w:val="00F40E4C"/>
    <w:rsid w:val="00F473E2"/>
    <w:rsid w:val="00F5755C"/>
    <w:rsid w:val="00F60561"/>
    <w:rsid w:val="00F72DC7"/>
    <w:rsid w:val="00F8648E"/>
    <w:rsid w:val="00F87BDF"/>
    <w:rsid w:val="00F948A4"/>
    <w:rsid w:val="00FA21B7"/>
    <w:rsid w:val="00FD35BB"/>
    <w:rsid w:val="00FD64CF"/>
    <w:rsid w:val="06ED5E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6503</Words>
  <Characters>6666</Characters>
  <Lines>50</Lines>
  <Paragraphs>14</Paragraphs>
  <TotalTime>218</TotalTime>
  <ScaleCrop>false</ScaleCrop>
  <LinksUpToDate>false</LinksUpToDate>
  <CharactersWithSpaces>6809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844869FC90904592BD615838FBE3A473_12</vt:lpwstr>
  </property>
</Properties>
</file>