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0C43B7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快乐读书吧</w:t>
      </w:r>
    </w:p>
    <w:p w14:paraId="168EBB72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从前有座山</w:t>
      </w:r>
    </w:p>
    <w:p w14:paraId="7CB9C77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7E265C9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1．产生阅读中国民间故事以及欧洲、非洲等地区民间故事的兴趣。</w:t>
      </w:r>
    </w:p>
    <w:p w14:paraId="20BB4C4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2．能初步了解民间故事的特点，感受故事中朴素</w:t>
      </w:r>
      <w:r>
        <w:rPr>
          <w:rFonts w:hint="eastAsia" w:hAnsi="宋体" w:cs="Times New Roman"/>
          <w:sz w:val="24"/>
          <w:szCs w:val="24"/>
        </w:rPr>
        <w:t>的价值观。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4C6ADD0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3．能感受阅读民间故事的快乐，乐于与大家分享课外阅读的成果。</w:t>
      </w:r>
    </w:p>
    <w:p w14:paraId="3AAEDC3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教学策略</w:t>
      </w:r>
    </w:p>
    <w:p w14:paraId="614409E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本册“快乐读书吧”引导学生阅读中外民间故事。民间故事一般篇幅较长，这是在四年级神话和科普类汇编作品的阅读基础上的进一步提升。对五年级学生来说，读懂民间故事的内容和主题是没有太大难度的，主要难点在于要在一个学期之内，用合适的速度完成多个长篇故事的阅读，并了解民间故事的特点。要完成本次“快乐读书吧”的任务，教师可以重点抓以下几个</w:t>
      </w:r>
      <w:r>
        <w:rPr>
          <w:rFonts w:hint="eastAsia" w:hAnsi="宋体" w:cs="Times New Roman"/>
          <w:sz w:val="24"/>
          <w:szCs w:val="24"/>
        </w:rPr>
        <w:t>环节</w:t>
      </w:r>
      <w:r>
        <w:rPr>
          <w:rFonts w:hAnsi="宋体" w:cs="Times New Roman"/>
          <w:sz w:val="24"/>
          <w:szCs w:val="24"/>
        </w:rPr>
        <w:t>：1.组织导读活动；2.激励学生持续阅读；3.组织读书交流活动；4.拓展阅读。</w:t>
      </w:r>
    </w:p>
    <w:p w14:paraId="0A3D5C9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教学准备</w:t>
      </w:r>
    </w:p>
    <w:p w14:paraId="6F157C4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《从前有座山》的音频资料；《灰额猫、山羊和绵羊》的音频片段；《列那狐的故事》连环画。</w:t>
      </w:r>
    </w:p>
    <w:p w14:paraId="264E43F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搜集民间故事。</w:t>
      </w:r>
    </w:p>
    <w:p w14:paraId="2392BC0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教学课时</w:t>
      </w:r>
    </w:p>
    <w:p w14:paraId="4F44ACE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1课时。</w:t>
      </w:r>
    </w:p>
    <w:p w14:paraId="18A977D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3866C10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一、音频导入，唤醒回忆</w:t>
      </w:r>
    </w:p>
    <w:p w14:paraId="5909030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激趣：</w:t>
      </w:r>
      <w:r>
        <w:rPr>
          <w:rFonts w:hAnsi="宋体" w:cs="Times New Roman"/>
          <w:sz w:val="24"/>
          <w:szCs w:val="24"/>
        </w:rPr>
        <w:t>很多民间</w:t>
      </w:r>
      <w:r>
        <w:rPr>
          <w:rFonts w:hint="eastAsia" w:hAnsi="宋体" w:cs="Times New Roman"/>
          <w:sz w:val="24"/>
          <w:szCs w:val="24"/>
        </w:rPr>
        <w:t>故事都有十分成功的动画改编，</w:t>
      </w:r>
      <w:r>
        <w:rPr>
          <w:rFonts w:hAnsi="宋体" w:cs="Times New Roman"/>
          <w:sz w:val="24"/>
          <w:szCs w:val="24"/>
        </w:rPr>
        <w:t>如《田螺姑娘》《拔萝卜》《宝莲灯》，还有一些民间故事被拍成了电影，如《刘三姐》《梁山伯与祝英台》《美女与野兽》。你听没听过下面这个故事呢？</w:t>
      </w:r>
    </w:p>
    <w:p w14:paraId="49C65F0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2．播放讲故事的音频，音频内容为：</w:t>
      </w:r>
    </w:p>
    <w:p w14:paraId="5A37E1C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从前有座山，山里有座庙，</w:t>
      </w:r>
    </w:p>
    <w:p w14:paraId="2CDCD05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庙里有个老和尚在给小和尚讲故事。</w:t>
      </w:r>
    </w:p>
    <w:p w14:paraId="2E31F6B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讲的是什么故事呢？</w:t>
      </w:r>
    </w:p>
    <w:p w14:paraId="4DD2CB8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从前有座山……</w:t>
      </w:r>
    </w:p>
    <w:p w14:paraId="2AD60BD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多么熟悉的故事啊！看，有的同学笑了，有的同学情不自禁地跟着讲了起来。我也深有感触。是啊，在我们小时候，也许就有人给你讲过这</w:t>
      </w:r>
      <w:r>
        <w:rPr>
          <w:rFonts w:hint="eastAsia" w:hAnsi="宋体" w:cs="Times New Roman"/>
          <w:sz w:val="24"/>
          <w:szCs w:val="24"/>
        </w:rPr>
        <w:t>个故事。</w:t>
      </w:r>
      <w:r>
        <w:rPr>
          <w:rFonts w:hAnsi="宋体" w:cs="Times New Roman"/>
          <w:sz w:val="24"/>
          <w:szCs w:val="24"/>
        </w:rPr>
        <w:t>像这样耳熟能详的民间故事还有很多，我们就一起快乐地阅读这些民间故事吧。</w:t>
      </w:r>
    </w:p>
    <w:p w14:paraId="7090701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4．引导学生回忆：你都读过哪些民间故事呢？</w:t>
      </w:r>
    </w:p>
    <w:p w14:paraId="70285B3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5．课件出示田螺姑娘、梁山伯与祝英台、八仙过海、董永与七仙女的图片，引导学生根据图片猜出这些中国民间故事的名称和故事的主人公。</w:t>
      </w:r>
    </w:p>
    <w:p w14:paraId="574171B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二、指导阅读，关注特点</w:t>
      </w:r>
    </w:p>
    <w:p w14:paraId="04B3DCF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这些经典的民间故事、鲜明的人物形象是不是已经勾起了你的读书欲望呢？在阅读民间故事时，我们可以重点关注哪些内容呢？我们一起来看看吧。</w:t>
      </w:r>
    </w:p>
    <w:p w14:paraId="032F8EC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</w:t>
      </w:r>
      <w:r>
        <w:rPr>
          <w:rFonts w:hint="eastAsia" w:hAnsi="宋体" w:cs="Times New Roman"/>
          <w:sz w:val="24"/>
          <w:szCs w:val="24"/>
        </w:rPr>
        <w:t>．</w:t>
      </w:r>
      <w:r>
        <w:rPr>
          <w:rFonts w:hAnsi="宋体" w:cs="Times New Roman"/>
          <w:sz w:val="24"/>
          <w:szCs w:val="24"/>
        </w:rPr>
        <w:t>课件出示田螺姑娘的图片及文字描写片段，请学生默读。</w:t>
      </w:r>
    </w:p>
    <w:p w14:paraId="5285F70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3．引导学生交流：读了刚才描写田螺姑娘的片段，你有怎样的感受？教师依据学生的发言，引导学生关注民间故事情节的生动。</w:t>
      </w:r>
    </w:p>
    <w:p w14:paraId="7861EBD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4．课件出示教材中《田螺姑娘》的故事片段，指名读，用自己喜欢的方式讲一讲故事。</w:t>
      </w:r>
    </w:p>
    <w:p w14:paraId="5FA12EA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5．了解民间故事内容的特点。</w:t>
      </w:r>
    </w:p>
    <w:p w14:paraId="4586D83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人们将对美好生活的期盼，化成了一个个民间故事，民间故事集中体现了真、善、美。</w:t>
      </w:r>
    </w:p>
    <w:p w14:paraId="6120936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(2)出示《猎人海力布》《牛郎织女》的插图，引导学生</w:t>
      </w:r>
      <w:r>
        <w:rPr>
          <w:rFonts w:hint="eastAsia" w:hAnsi="宋体" w:cs="Times New Roman"/>
          <w:sz w:val="24"/>
          <w:szCs w:val="24"/>
        </w:rPr>
        <w:t>说一说这些民间故事表达了人们怎样的情感和愿望。</w:t>
      </w: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《猎人海力布》赞扬了海力布舍己为人的高尚品质；《牛郎织女》体现了劳动人民的勤劳善良，对美好自由生活的向往。</w:t>
      </w:r>
      <w:r>
        <w:rPr>
          <w:rFonts w:hAnsi="宋体" w:cs="Times New Roman"/>
          <w:sz w:val="24"/>
          <w:szCs w:val="24"/>
        </w:rPr>
        <w:t>)</w:t>
      </w:r>
    </w:p>
    <w:p w14:paraId="39C310A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(3)说一说：你了解的民间故事都表达了劳动人民怎样的思想感情？</w:t>
      </w:r>
    </w:p>
    <w:p w14:paraId="0B62F91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民间故事寄托着人们朴素的愿望，正义却弱小的主人公总是能够打败强大的对手，心地善良的穷苦人最终会丰衣足食，过上幸福的生活。民间故事是我国劳动人民集体智慧的结晶，因此，它总是直接反映劳动人民的愿望、</w:t>
      </w:r>
      <w:r>
        <w:rPr>
          <w:rFonts w:hint="eastAsia" w:hAnsi="宋体" w:cs="Times New Roman"/>
          <w:sz w:val="24"/>
          <w:szCs w:val="24"/>
        </w:rPr>
        <w:t>要求和理想。</w:t>
      </w:r>
    </w:p>
    <w:p w14:paraId="6EFB9F9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6．教师总结民间故事的情节特点：作为一种口头艺术，民间故事一般有固定的类型和重复的段落，这是为了在讲述中方便记忆，同时加深听众的印象。</w:t>
      </w:r>
    </w:p>
    <w:p w14:paraId="4625ECF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三、拓展阅读，激发兴趣</w:t>
      </w:r>
    </w:p>
    <w:p w14:paraId="3801D2C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1．民间故事存在于世界上的每一个角落。你知道这些外国民间故事吗？</w:t>
      </w:r>
    </w:p>
    <w:p w14:paraId="38FFAB2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2．课件出示图片，请学生猜一猜这些外国民间故事的名字。(</w:t>
      </w:r>
      <w:r>
        <w:rPr>
          <w:rFonts w:hAnsi="宋体" w:eastAsia="楷体_GB2312" w:cs="Times New Roman"/>
          <w:sz w:val="24"/>
          <w:szCs w:val="24"/>
        </w:rPr>
        <w:t>《长不大的牧羊人》《列那狐的故事》</w:t>
      </w:r>
      <w:r>
        <w:rPr>
          <w:rFonts w:hAnsi="宋体" w:cs="Times New Roman"/>
          <w:sz w:val="24"/>
          <w:szCs w:val="24"/>
        </w:rPr>
        <w:t>)</w:t>
      </w:r>
    </w:p>
    <w:p w14:paraId="4354E97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3．播放《灰额猫、山羊和绵羊》的故事片段，请学生认真听故事，谈一谈感受。</w:t>
      </w:r>
    </w:p>
    <w:p w14:paraId="2B8DDB0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4．出示《列那狐的故事》连环画，引导学生简要交流故事内容及主人公。</w:t>
      </w:r>
    </w:p>
    <w:p w14:paraId="7C17FF4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5．引导学生交流自己还读过哪些外国民间故事，和大家交流一下故事的主要内容。</w:t>
      </w:r>
    </w:p>
    <w:p w14:paraId="3FA9CE1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四、故事推荐，鼓励读书</w:t>
      </w:r>
    </w:p>
    <w:p w14:paraId="70542D4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1．出示《中国民间故事》《一千零一夜》《意大利民间故事》《非洲民间故事》等书籍图片，简要介绍书的内容。</w:t>
      </w:r>
    </w:p>
    <w:p w14:paraId="685A16B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2．在激发阅读兴趣后，教师出示推荐阅读名录，学生根据书名和目录，自主选择最感兴趣的一本书阅读。</w:t>
      </w:r>
    </w:p>
    <w:p w14:paraId="6325881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课件出示　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61"/>
        <w:gridCol w:w="3135"/>
        <w:gridCol w:w="2818"/>
      </w:tblGrid>
      <w:tr w14:paraId="510DC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61" w:type="dxa"/>
            <w:shd w:val="clear" w:color="auto" w:fill="auto"/>
            <w:vAlign w:val="center"/>
          </w:tcPr>
          <w:p w14:paraId="31E31454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篇　目</w:t>
            </w:r>
          </w:p>
        </w:tc>
        <w:tc>
          <w:tcPr>
            <w:tcW w:w="3135" w:type="dxa"/>
            <w:shd w:val="clear" w:color="auto" w:fill="auto"/>
            <w:vAlign w:val="center"/>
          </w:tcPr>
          <w:p w14:paraId="6F8FADE9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阅读时间(分钟)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760FA3D9">
            <w:pPr>
              <w:pStyle w:val="10"/>
              <w:spacing w:line="360" w:lineRule="auto"/>
              <w:jc w:val="center"/>
              <w:rPr>
                <w:rFonts w:hint="eastAsia" w:hAnsi="宋体" w:eastAsia="楷体_GB2312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阅读收获</w:t>
            </w:r>
          </w:p>
        </w:tc>
      </w:tr>
      <w:tr w14:paraId="35005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61" w:type="dxa"/>
            <w:shd w:val="clear" w:color="auto" w:fill="auto"/>
            <w:vAlign w:val="center"/>
          </w:tcPr>
          <w:p w14:paraId="1840E804">
            <w:pPr>
              <w:pStyle w:val="10"/>
              <w:spacing w:line="360" w:lineRule="auto"/>
              <w:jc w:val="center"/>
              <w:rPr>
                <w:rFonts w:hint="eastAsia" w:hAnsi="宋体" w:eastAsia="楷体_GB2312" w:cs="Times New Roman"/>
                <w:sz w:val="24"/>
                <w:szCs w:val="24"/>
              </w:rPr>
            </w:pPr>
            <w:r>
              <w:rPr>
                <w:rFonts w:hAnsi="宋体" w:eastAsia="楷体_GB2312" w:cs="Times New Roman"/>
                <w:sz w:val="24"/>
                <w:szCs w:val="24"/>
              </w:rPr>
              <w:t>《白娘子》</w:t>
            </w:r>
          </w:p>
        </w:tc>
        <w:tc>
          <w:tcPr>
            <w:tcW w:w="3135" w:type="dxa"/>
            <w:shd w:val="clear" w:color="auto" w:fill="auto"/>
            <w:vAlign w:val="center"/>
          </w:tcPr>
          <w:p w14:paraId="0D11B022">
            <w:pPr>
              <w:pStyle w:val="10"/>
              <w:spacing w:line="360" w:lineRule="auto"/>
              <w:jc w:val="center"/>
              <w:rPr>
                <w:rFonts w:hint="eastAsia" w:hAnsi="宋体" w:eastAsia="楷体_GB2312" w:cs="Times New Roman"/>
                <w:sz w:val="24"/>
                <w:szCs w:val="24"/>
              </w:rPr>
            </w:pPr>
          </w:p>
        </w:tc>
        <w:tc>
          <w:tcPr>
            <w:tcW w:w="2818" w:type="dxa"/>
            <w:shd w:val="clear" w:color="auto" w:fill="auto"/>
            <w:vAlign w:val="center"/>
          </w:tcPr>
          <w:p w14:paraId="7A9EB12F">
            <w:pPr>
              <w:pStyle w:val="10"/>
              <w:spacing w:line="360" w:lineRule="auto"/>
              <w:jc w:val="center"/>
              <w:rPr>
                <w:rFonts w:hint="eastAsia" w:hAnsi="宋体" w:eastAsia="楷体_GB2312" w:cs="Times New Roman"/>
                <w:sz w:val="24"/>
                <w:szCs w:val="24"/>
              </w:rPr>
            </w:pPr>
          </w:p>
        </w:tc>
      </w:tr>
      <w:tr w14:paraId="499E6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61" w:type="dxa"/>
            <w:shd w:val="clear" w:color="auto" w:fill="auto"/>
            <w:vAlign w:val="center"/>
          </w:tcPr>
          <w:p w14:paraId="693ECDDA">
            <w:pPr>
              <w:pStyle w:val="10"/>
              <w:spacing w:line="360" w:lineRule="auto"/>
              <w:jc w:val="center"/>
              <w:rPr>
                <w:rFonts w:hint="eastAsia" w:hAnsi="宋体" w:eastAsia="楷体_GB2312" w:cs="Times New Roman"/>
                <w:sz w:val="24"/>
                <w:szCs w:val="24"/>
              </w:rPr>
            </w:pPr>
            <w:r>
              <w:rPr>
                <w:rFonts w:hAnsi="宋体" w:eastAsia="楷体_GB2312" w:cs="Times New Roman"/>
                <w:sz w:val="24"/>
                <w:szCs w:val="24"/>
              </w:rPr>
              <w:t>《刘三姐》</w:t>
            </w:r>
          </w:p>
        </w:tc>
        <w:tc>
          <w:tcPr>
            <w:tcW w:w="3135" w:type="dxa"/>
            <w:shd w:val="clear" w:color="auto" w:fill="auto"/>
            <w:vAlign w:val="center"/>
          </w:tcPr>
          <w:p w14:paraId="296C09F3">
            <w:pPr>
              <w:pStyle w:val="10"/>
              <w:spacing w:line="360" w:lineRule="auto"/>
              <w:jc w:val="center"/>
              <w:rPr>
                <w:rFonts w:hint="eastAsia" w:hAnsi="宋体" w:eastAsia="楷体_GB2312" w:cs="Times New Roman"/>
                <w:sz w:val="24"/>
                <w:szCs w:val="24"/>
              </w:rPr>
            </w:pPr>
          </w:p>
        </w:tc>
        <w:tc>
          <w:tcPr>
            <w:tcW w:w="2818" w:type="dxa"/>
            <w:shd w:val="clear" w:color="auto" w:fill="auto"/>
            <w:vAlign w:val="center"/>
          </w:tcPr>
          <w:p w14:paraId="30C67C61">
            <w:pPr>
              <w:pStyle w:val="10"/>
              <w:spacing w:line="360" w:lineRule="auto"/>
              <w:jc w:val="center"/>
              <w:rPr>
                <w:rFonts w:hint="eastAsia" w:hAnsi="宋体" w:eastAsia="楷体_GB2312" w:cs="Times New Roman"/>
                <w:sz w:val="24"/>
                <w:szCs w:val="24"/>
              </w:rPr>
            </w:pPr>
          </w:p>
        </w:tc>
      </w:tr>
      <w:tr w14:paraId="0E567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61" w:type="dxa"/>
            <w:shd w:val="clear" w:color="auto" w:fill="auto"/>
            <w:vAlign w:val="center"/>
          </w:tcPr>
          <w:p w14:paraId="5D910A04">
            <w:pPr>
              <w:pStyle w:val="10"/>
              <w:spacing w:line="360" w:lineRule="auto"/>
              <w:jc w:val="center"/>
              <w:rPr>
                <w:rFonts w:hint="eastAsia" w:hAnsi="宋体" w:eastAsia="楷体_GB2312" w:cs="Times New Roman"/>
                <w:sz w:val="24"/>
                <w:szCs w:val="24"/>
              </w:rPr>
            </w:pPr>
            <w:r>
              <w:rPr>
                <w:rFonts w:hAnsi="宋体" w:eastAsia="楷体_GB2312" w:cs="Times New Roman"/>
                <w:sz w:val="24"/>
                <w:szCs w:val="24"/>
              </w:rPr>
              <w:t>《梁山伯与祝英台》</w:t>
            </w:r>
          </w:p>
        </w:tc>
        <w:tc>
          <w:tcPr>
            <w:tcW w:w="3135" w:type="dxa"/>
            <w:shd w:val="clear" w:color="auto" w:fill="auto"/>
            <w:vAlign w:val="center"/>
          </w:tcPr>
          <w:p w14:paraId="203A16B8">
            <w:pPr>
              <w:pStyle w:val="10"/>
              <w:spacing w:line="360" w:lineRule="auto"/>
              <w:jc w:val="center"/>
              <w:rPr>
                <w:rFonts w:hint="eastAsia" w:hAnsi="宋体" w:eastAsia="楷体_GB2312" w:cs="Times New Roman"/>
                <w:sz w:val="24"/>
                <w:szCs w:val="24"/>
              </w:rPr>
            </w:pPr>
          </w:p>
        </w:tc>
        <w:tc>
          <w:tcPr>
            <w:tcW w:w="2818" w:type="dxa"/>
            <w:shd w:val="clear" w:color="auto" w:fill="auto"/>
            <w:vAlign w:val="center"/>
          </w:tcPr>
          <w:p w14:paraId="6F864D75">
            <w:pPr>
              <w:pStyle w:val="10"/>
              <w:spacing w:line="360" w:lineRule="auto"/>
              <w:jc w:val="center"/>
              <w:rPr>
                <w:rFonts w:hint="eastAsia" w:hAnsi="宋体" w:eastAsia="楷体_GB2312" w:cs="Times New Roman"/>
                <w:sz w:val="24"/>
                <w:szCs w:val="24"/>
              </w:rPr>
            </w:pPr>
          </w:p>
        </w:tc>
      </w:tr>
      <w:tr w14:paraId="794D4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61" w:type="dxa"/>
            <w:shd w:val="clear" w:color="auto" w:fill="auto"/>
            <w:vAlign w:val="center"/>
          </w:tcPr>
          <w:p w14:paraId="276D31EB">
            <w:pPr>
              <w:pStyle w:val="10"/>
              <w:spacing w:line="360" w:lineRule="auto"/>
              <w:jc w:val="center"/>
              <w:rPr>
                <w:rFonts w:hint="eastAsia" w:hAnsi="宋体" w:eastAsia="楷体_GB2312" w:cs="Times New Roman"/>
                <w:sz w:val="24"/>
                <w:szCs w:val="24"/>
              </w:rPr>
            </w:pPr>
            <w:r>
              <w:rPr>
                <w:rFonts w:hAnsi="宋体" w:eastAsia="楷体_GB2312" w:cs="Times New Roman"/>
                <w:sz w:val="24"/>
                <w:szCs w:val="24"/>
              </w:rPr>
              <w:t>《孟姜女的传说》</w:t>
            </w:r>
          </w:p>
        </w:tc>
        <w:tc>
          <w:tcPr>
            <w:tcW w:w="3135" w:type="dxa"/>
            <w:shd w:val="clear" w:color="auto" w:fill="auto"/>
            <w:vAlign w:val="center"/>
          </w:tcPr>
          <w:p w14:paraId="2320D9F1">
            <w:pPr>
              <w:pStyle w:val="10"/>
              <w:spacing w:line="360" w:lineRule="auto"/>
              <w:jc w:val="center"/>
              <w:rPr>
                <w:rFonts w:hint="eastAsia" w:hAnsi="宋体" w:eastAsia="楷体_GB2312" w:cs="Times New Roman"/>
                <w:sz w:val="24"/>
                <w:szCs w:val="24"/>
              </w:rPr>
            </w:pPr>
          </w:p>
        </w:tc>
        <w:tc>
          <w:tcPr>
            <w:tcW w:w="2818" w:type="dxa"/>
            <w:shd w:val="clear" w:color="auto" w:fill="auto"/>
            <w:vAlign w:val="center"/>
          </w:tcPr>
          <w:p w14:paraId="3E55B6A9">
            <w:pPr>
              <w:pStyle w:val="10"/>
              <w:spacing w:line="360" w:lineRule="auto"/>
              <w:jc w:val="center"/>
              <w:rPr>
                <w:rFonts w:hint="eastAsia" w:hAnsi="宋体" w:eastAsia="楷体_GB2312" w:cs="Times New Roman"/>
                <w:sz w:val="24"/>
                <w:szCs w:val="24"/>
              </w:rPr>
            </w:pPr>
          </w:p>
        </w:tc>
      </w:tr>
      <w:tr w14:paraId="4F4A3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61" w:type="dxa"/>
            <w:shd w:val="clear" w:color="auto" w:fill="auto"/>
            <w:vAlign w:val="center"/>
          </w:tcPr>
          <w:p w14:paraId="25EFE719">
            <w:pPr>
              <w:pStyle w:val="10"/>
              <w:spacing w:line="360" w:lineRule="auto"/>
              <w:jc w:val="center"/>
              <w:rPr>
                <w:rFonts w:hint="eastAsia" w:hAnsi="宋体" w:eastAsia="楷体_GB2312" w:cs="Times New Roman"/>
                <w:sz w:val="24"/>
                <w:szCs w:val="24"/>
              </w:rPr>
            </w:pPr>
            <w:r>
              <w:rPr>
                <w:rFonts w:hAnsi="宋体" w:eastAsia="楷体_GB2312" w:cs="Times New Roman"/>
                <w:sz w:val="24"/>
                <w:szCs w:val="24"/>
              </w:rPr>
              <w:t>《龙牙颗颗钉满天》</w:t>
            </w:r>
          </w:p>
        </w:tc>
        <w:tc>
          <w:tcPr>
            <w:tcW w:w="3135" w:type="dxa"/>
            <w:shd w:val="clear" w:color="auto" w:fill="auto"/>
            <w:vAlign w:val="center"/>
          </w:tcPr>
          <w:p w14:paraId="7F817ED3">
            <w:pPr>
              <w:pStyle w:val="10"/>
              <w:spacing w:line="360" w:lineRule="auto"/>
              <w:jc w:val="center"/>
              <w:rPr>
                <w:rFonts w:hint="eastAsia" w:hAnsi="宋体" w:eastAsia="楷体_GB2312" w:cs="Times New Roman"/>
                <w:sz w:val="24"/>
                <w:szCs w:val="24"/>
              </w:rPr>
            </w:pPr>
          </w:p>
        </w:tc>
        <w:tc>
          <w:tcPr>
            <w:tcW w:w="2818" w:type="dxa"/>
            <w:shd w:val="clear" w:color="auto" w:fill="auto"/>
            <w:vAlign w:val="center"/>
          </w:tcPr>
          <w:p w14:paraId="25EB4F34">
            <w:pPr>
              <w:pStyle w:val="10"/>
              <w:spacing w:line="360" w:lineRule="auto"/>
              <w:jc w:val="center"/>
              <w:rPr>
                <w:rFonts w:hint="eastAsia" w:hAnsi="宋体" w:eastAsia="楷体_GB2312" w:cs="Times New Roman"/>
                <w:sz w:val="24"/>
                <w:szCs w:val="24"/>
              </w:rPr>
            </w:pPr>
          </w:p>
        </w:tc>
      </w:tr>
      <w:tr w14:paraId="50062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61" w:type="dxa"/>
            <w:shd w:val="clear" w:color="auto" w:fill="auto"/>
            <w:vAlign w:val="center"/>
          </w:tcPr>
          <w:p w14:paraId="6E09A129">
            <w:pPr>
              <w:pStyle w:val="10"/>
              <w:spacing w:line="360" w:lineRule="auto"/>
              <w:jc w:val="center"/>
              <w:rPr>
                <w:rFonts w:hint="eastAsia" w:hAnsi="宋体" w:eastAsia="楷体_GB2312" w:cs="Times New Roman"/>
                <w:sz w:val="24"/>
                <w:szCs w:val="24"/>
              </w:rPr>
            </w:pPr>
            <w:r>
              <w:rPr>
                <w:rFonts w:hAnsi="宋体" w:eastAsia="楷体_GB2312" w:cs="Times New Roman"/>
                <w:sz w:val="24"/>
                <w:szCs w:val="24"/>
              </w:rPr>
              <w:t>《长发妹》</w:t>
            </w:r>
          </w:p>
        </w:tc>
        <w:tc>
          <w:tcPr>
            <w:tcW w:w="3135" w:type="dxa"/>
            <w:shd w:val="clear" w:color="auto" w:fill="auto"/>
            <w:vAlign w:val="center"/>
          </w:tcPr>
          <w:p w14:paraId="02789510">
            <w:pPr>
              <w:pStyle w:val="10"/>
              <w:spacing w:line="360" w:lineRule="auto"/>
              <w:jc w:val="center"/>
              <w:rPr>
                <w:rFonts w:hint="eastAsia" w:hAnsi="宋体" w:eastAsia="楷体_GB2312" w:cs="Times New Roman"/>
                <w:sz w:val="24"/>
                <w:szCs w:val="24"/>
              </w:rPr>
            </w:pPr>
          </w:p>
        </w:tc>
        <w:tc>
          <w:tcPr>
            <w:tcW w:w="2818" w:type="dxa"/>
            <w:shd w:val="clear" w:color="auto" w:fill="auto"/>
            <w:vAlign w:val="center"/>
          </w:tcPr>
          <w:p w14:paraId="66FB4154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</w:tr>
    </w:tbl>
    <w:p w14:paraId="182EEBB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</w:t>
      </w:r>
      <w:r>
        <w:rPr>
          <w:rFonts w:hAnsi="宋体" w:eastAsia="黑体" w:cs="Times New Roman"/>
          <w:sz w:val="24"/>
          <w:szCs w:val="24"/>
        </w:rPr>
        <w:t>总结：</w:t>
      </w:r>
      <w:r>
        <w:rPr>
          <w:rFonts w:hAnsi="宋体" w:cs="Times New Roman"/>
          <w:sz w:val="24"/>
          <w:szCs w:val="24"/>
        </w:rPr>
        <w:t>课后，就让我们行动起来，读一读这些书里的故事，领略故事情节的生动、有趣，感悟主人公身上的优秀品质，受到真、善、美的熏陶。让我们一起快乐读书、热</w:t>
      </w:r>
      <w:r>
        <w:rPr>
          <w:rFonts w:hint="eastAsia" w:hAnsi="宋体" w:cs="Times New Roman"/>
          <w:sz w:val="24"/>
          <w:szCs w:val="24"/>
        </w:rPr>
        <w:t>爱阅读，</w:t>
      </w:r>
      <w:r>
        <w:rPr>
          <w:rFonts w:hAnsi="宋体" w:cs="Times New Roman"/>
          <w:sz w:val="24"/>
          <w:szCs w:val="24"/>
        </w:rPr>
        <w:t>一起走进民间故事的宝库吧！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D417F0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B8F7FD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7B98CF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526533">
    <w:pPr>
      <w:pStyle w:val="1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35BB9E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9F7BC8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73E2"/>
    <w:rsid w:val="000023F6"/>
    <w:rsid w:val="00023E81"/>
    <w:rsid w:val="00026558"/>
    <w:rsid w:val="000271DC"/>
    <w:rsid w:val="00027340"/>
    <w:rsid w:val="00027498"/>
    <w:rsid w:val="00033F0B"/>
    <w:rsid w:val="000402D9"/>
    <w:rsid w:val="0005202B"/>
    <w:rsid w:val="00097DE3"/>
    <w:rsid w:val="000A3C2F"/>
    <w:rsid w:val="000A4136"/>
    <w:rsid w:val="000D2B1A"/>
    <w:rsid w:val="000F4692"/>
    <w:rsid w:val="00104748"/>
    <w:rsid w:val="0012024B"/>
    <w:rsid w:val="00122E67"/>
    <w:rsid w:val="001476C9"/>
    <w:rsid w:val="00150E3D"/>
    <w:rsid w:val="00174FDE"/>
    <w:rsid w:val="00182C18"/>
    <w:rsid w:val="001C3179"/>
    <w:rsid w:val="001E0A7A"/>
    <w:rsid w:val="001F58E5"/>
    <w:rsid w:val="00213F79"/>
    <w:rsid w:val="00253DCD"/>
    <w:rsid w:val="00267CA3"/>
    <w:rsid w:val="0029354B"/>
    <w:rsid w:val="002A6D4F"/>
    <w:rsid w:val="00300AAE"/>
    <w:rsid w:val="0030390A"/>
    <w:rsid w:val="0031250A"/>
    <w:rsid w:val="00324EA5"/>
    <w:rsid w:val="00344DC9"/>
    <w:rsid w:val="003717A8"/>
    <w:rsid w:val="0038344B"/>
    <w:rsid w:val="003951B9"/>
    <w:rsid w:val="003B410D"/>
    <w:rsid w:val="00422447"/>
    <w:rsid w:val="00442837"/>
    <w:rsid w:val="00446663"/>
    <w:rsid w:val="004507BA"/>
    <w:rsid w:val="00453BB3"/>
    <w:rsid w:val="00470160"/>
    <w:rsid w:val="00480BE0"/>
    <w:rsid w:val="00492DCF"/>
    <w:rsid w:val="004C0EF2"/>
    <w:rsid w:val="005066D5"/>
    <w:rsid w:val="00510F35"/>
    <w:rsid w:val="0053026E"/>
    <w:rsid w:val="00542575"/>
    <w:rsid w:val="00545705"/>
    <w:rsid w:val="00560B73"/>
    <w:rsid w:val="005623BC"/>
    <w:rsid w:val="0058069E"/>
    <w:rsid w:val="005A2C6F"/>
    <w:rsid w:val="005C662E"/>
    <w:rsid w:val="00607E78"/>
    <w:rsid w:val="006207EC"/>
    <w:rsid w:val="00626145"/>
    <w:rsid w:val="00661EF0"/>
    <w:rsid w:val="0068014A"/>
    <w:rsid w:val="006B301F"/>
    <w:rsid w:val="006C5066"/>
    <w:rsid w:val="006D3B7F"/>
    <w:rsid w:val="006D41B6"/>
    <w:rsid w:val="006E1B79"/>
    <w:rsid w:val="006E62D0"/>
    <w:rsid w:val="0070019E"/>
    <w:rsid w:val="0071234D"/>
    <w:rsid w:val="00782BDF"/>
    <w:rsid w:val="007954CD"/>
    <w:rsid w:val="00795BA3"/>
    <w:rsid w:val="007D7B53"/>
    <w:rsid w:val="007E51D6"/>
    <w:rsid w:val="007F1787"/>
    <w:rsid w:val="007F7E71"/>
    <w:rsid w:val="0081189D"/>
    <w:rsid w:val="00816718"/>
    <w:rsid w:val="008455DA"/>
    <w:rsid w:val="008A258B"/>
    <w:rsid w:val="008B4C77"/>
    <w:rsid w:val="008C54F0"/>
    <w:rsid w:val="008C5D4D"/>
    <w:rsid w:val="008D0B34"/>
    <w:rsid w:val="008D1757"/>
    <w:rsid w:val="008E2F30"/>
    <w:rsid w:val="009136EF"/>
    <w:rsid w:val="0092072A"/>
    <w:rsid w:val="00951C8A"/>
    <w:rsid w:val="0095531E"/>
    <w:rsid w:val="00961455"/>
    <w:rsid w:val="00972241"/>
    <w:rsid w:val="00981932"/>
    <w:rsid w:val="00982150"/>
    <w:rsid w:val="009859A9"/>
    <w:rsid w:val="009C6E5E"/>
    <w:rsid w:val="009E0E57"/>
    <w:rsid w:val="009E17B1"/>
    <w:rsid w:val="009F7028"/>
    <w:rsid w:val="00A12E73"/>
    <w:rsid w:val="00A166F5"/>
    <w:rsid w:val="00A66279"/>
    <w:rsid w:val="00A93558"/>
    <w:rsid w:val="00A95CD4"/>
    <w:rsid w:val="00AA51A6"/>
    <w:rsid w:val="00AC15FB"/>
    <w:rsid w:val="00AC7D61"/>
    <w:rsid w:val="00AE122A"/>
    <w:rsid w:val="00AF083D"/>
    <w:rsid w:val="00B04683"/>
    <w:rsid w:val="00B15CB6"/>
    <w:rsid w:val="00B4533E"/>
    <w:rsid w:val="00B471AB"/>
    <w:rsid w:val="00B50A30"/>
    <w:rsid w:val="00B50B09"/>
    <w:rsid w:val="00B7175D"/>
    <w:rsid w:val="00B73B04"/>
    <w:rsid w:val="00BB516C"/>
    <w:rsid w:val="00BB56CB"/>
    <w:rsid w:val="00BC5CF0"/>
    <w:rsid w:val="00BE696E"/>
    <w:rsid w:val="00BF683A"/>
    <w:rsid w:val="00C15340"/>
    <w:rsid w:val="00C1709B"/>
    <w:rsid w:val="00C2476F"/>
    <w:rsid w:val="00C3048C"/>
    <w:rsid w:val="00C31A50"/>
    <w:rsid w:val="00C37DE6"/>
    <w:rsid w:val="00C540CD"/>
    <w:rsid w:val="00C80ED2"/>
    <w:rsid w:val="00C836FA"/>
    <w:rsid w:val="00C86F2C"/>
    <w:rsid w:val="00C952C7"/>
    <w:rsid w:val="00CA3034"/>
    <w:rsid w:val="00CB210F"/>
    <w:rsid w:val="00CB6064"/>
    <w:rsid w:val="00CC689A"/>
    <w:rsid w:val="00CE4216"/>
    <w:rsid w:val="00CE69CF"/>
    <w:rsid w:val="00CF2F70"/>
    <w:rsid w:val="00CF65F0"/>
    <w:rsid w:val="00D135C5"/>
    <w:rsid w:val="00D138EA"/>
    <w:rsid w:val="00D17773"/>
    <w:rsid w:val="00D21211"/>
    <w:rsid w:val="00D35A13"/>
    <w:rsid w:val="00D4311B"/>
    <w:rsid w:val="00D477F9"/>
    <w:rsid w:val="00D505F7"/>
    <w:rsid w:val="00D679FB"/>
    <w:rsid w:val="00D74621"/>
    <w:rsid w:val="00D95ECC"/>
    <w:rsid w:val="00DB2251"/>
    <w:rsid w:val="00DD21E6"/>
    <w:rsid w:val="00DE3244"/>
    <w:rsid w:val="00DE49B2"/>
    <w:rsid w:val="00DE4FC8"/>
    <w:rsid w:val="00DF3DB4"/>
    <w:rsid w:val="00DF5B86"/>
    <w:rsid w:val="00E05EC0"/>
    <w:rsid w:val="00E10EA1"/>
    <w:rsid w:val="00E427F6"/>
    <w:rsid w:val="00E45B8D"/>
    <w:rsid w:val="00E53A19"/>
    <w:rsid w:val="00E74286"/>
    <w:rsid w:val="00E74427"/>
    <w:rsid w:val="00E81E49"/>
    <w:rsid w:val="00EA343E"/>
    <w:rsid w:val="00EA5ABD"/>
    <w:rsid w:val="00EC4FC9"/>
    <w:rsid w:val="00ED4A36"/>
    <w:rsid w:val="00EE3076"/>
    <w:rsid w:val="00EF56BC"/>
    <w:rsid w:val="00F01EFD"/>
    <w:rsid w:val="00F05993"/>
    <w:rsid w:val="00F473E2"/>
    <w:rsid w:val="00F5755C"/>
    <w:rsid w:val="00F60561"/>
    <w:rsid w:val="00F87BDF"/>
    <w:rsid w:val="00F948A4"/>
    <w:rsid w:val="00FD64CF"/>
    <w:rsid w:val="2144420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7"/>
    <w:unhideWhenUsed/>
    <w:qFormat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页眉 字符"/>
    <w:link w:val="13"/>
    <w:qFormat/>
    <w:uiPriority w:val="99"/>
    <w:rPr>
      <w:kern w:val="2"/>
      <w:sz w:val="18"/>
      <w:szCs w:val="18"/>
    </w:rPr>
  </w:style>
  <w:style w:type="character" w:customStyle="1" w:styleId="17">
    <w:name w:val="页脚 字符"/>
    <w:link w:val="12"/>
    <w:qFormat/>
    <w:uiPriority w:val="99"/>
    <w:rPr>
      <w:kern w:val="2"/>
      <w:sz w:val="18"/>
      <w:szCs w:val="18"/>
    </w:rPr>
  </w:style>
  <w:style w:type="character" w:customStyle="1" w:styleId="18">
    <w:name w:val="批注框文本 字符"/>
    <w:basedOn w:val="15"/>
    <w:link w:val="11"/>
    <w:semiHidden/>
    <w:qFormat/>
    <w:uiPriority w:val="99"/>
    <w:rPr>
      <w:kern w:val="2"/>
      <w:sz w:val="18"/>
      <w:szCs w:val="18"/>
    </w:rPr>
  </w:style>
  <w:style w:type="character" w:customStyle="1" w:styleId="19">
    <w:name w:val="标题 1 字符"/>
    <w:basedOn w:val="15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0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1">
    <w:name w:val="标题 3 字符"/>
    <w:basedOn w:val="15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2">
    <w:name w:val="标题 4 字符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3">
    <w:name w:val="标题 5 字符"/>
    <w:basedOn w:val="15"/>
    <w:link w:val="6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4">
    <w:name w:val="标题 6 字符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5">
    <w:name w:val="标题 7 字符"/>
    <w:basedOn w:val="15"/>
    <w:link w:val="8"/>
    <w:semiHidden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6">
    <w:name w:val="标题 8 字符"/>
    <w:basedOn w:val="15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7">
    <w:name w:val="纯文本 字符"/>
    <w:basedOn w:val="15"/>
    <w:link w:val="10"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1758</Words>
  <Characters>1770</Characters>
  <Lines>13</Lines>
  <Paragraphs>3</Paragraphs>
  <TotalTime>112</TotalTime>
  <ScaleCrop>false</ScaleCrop>
  <LinksUpToDate>false</LinksUpToDate>
  <CharactersWithSpaces>1772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2023-01-12T00:30:00Z</dcterms:created>
  <dc:creator>Administrator</dc:creator>
  <cp:lastModifiedBy>上帝掷骰子吗</cp:lastModifiedBy>
  <cp:lastPrinted>2017-02-07T07:26:00Z</cp:lastPrinted>
  <dcterms:modified xsi:type="dcterms:W3CDTF">2025-07-30T14:14:36Z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6BE1C3B87E7846859F7824DAF4068C82_12</vt:lpwstr>
  </property>
</Properties>
</file>