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C06958">
      <w:pPr>
        <w:spacing w:after="0" w:line="360" w:lineRule="auto"/>
        <w:jc w:val="center"/>
        <w:rPr>
          <w:rFonts w:ascii="宋体" w:hAnsi="宋体"/>
          <w:b/>
          <w:sz w:val="30"/>
          <w:szCs w:val="30"/>
        </w:rPr>
      </w:pPr>
      <w:bookmarkStart w:id="0" w:name="_GoBack"/>
      <w:bookmarkEnd w:id="0"/>
      <w:r>
        <w:rPr>
          <w:rFonts w:hint="eastAsia" w:ascii="宋体" w:hAnsi="宋体"/>
          <w:b/>
          <w:sz w:val="30"/>
          <w:szCs w:val="30"/>
        </w:rPr>
        <w:t>口语交际：怎么表演课本剧</w:t>
      </w:r>
    </w:p>
    <w:p w14:paraId="05960EE4">
      <w:pPr>
        <w:spacing w:after="0" w:line="360" w:lineRule="auto"/>
        <w:rPr>
          <w:rFonts w:ascii="宋体" w:hAnsi="宋体"/>
          <w:b/>
          <w:sz w:val="24"/>
          <w:szCs w:val="30"/>
        </w:rPr>
      </w:pPr>
      <w:r>
        <w:rPr>
          <w:rFonts w:hint="eastAsia" w:ascii="宋体" w:hAnsi="宋体"/>
          <w:b/>
          <w:sz w:val="24"/>
          <w:szCs w:val="30"/>
        </w:rPr>
        <w:t>【核心素养目标】</w:t>
      </w:r>
    </w:p>
    <w:p w14:paraId="68C603F6">
      <w:pPr>
        <w:spacing w:after="0" w:line="360" w:lineRule="auto"/>
        <w:rPr>
          <w:rFonts w:ascii="宋体" w:hAnsi="宋体"/>
          <w:sz w:val="24"/>
          <w:szCs w:val="30"/>
        </w:rPr>
      </w:pPr>
      <w:r>
        <w:rPr>
          <w:rFonts w:hint="eastAsia" w:ascii="宋体" w:hAnsi="宋体"/>
          <w:b/>
          <w:sz w:val="24"/>
          <w:szCs w:val="30"/>
        </w:rPr>
        <w:t>文化自信：</w:t>
      </w:r>
      <w:r>
        <w:rPr>
          <w:rFonts w:hint="eastAsia" w:ascii="宋体" w:hAnsi="宋体"/>
          <w:sz w:val="24"/>
          <w:szCs w:val="30"/>
        </w:rPr>
        <w:t>由阅读到课本剧、由课本剧再到阅读的循环旅程，让学生得法于课内，得益于课外。使学生感受中华优秀传统文化的魅力，不断提升自身的综合素养。</w:t>
      </w:r>
    </w:p>
    <w:p w14:paraId="0F92EAFB">
      <w:pPr>
        <w:spacing w:after="0" w:line="360" w:lineRule="auto"/>
        <w:rPr>
          <w:rFonts w:ascii="宋体" w:hAnsi="宋体"/>
          <w:sz w:val="24"/>
          <w:szCs w:val="30"/>
        </w:rPr>
      </w:pPr>
      <w:r>
        <w:rPr>
          <w:rFonts w:hint="eastAsia" w:ascii="宋体" w:hAnsi="宋体"/>
          <w:b/>
          <w:sz w:val="24"/>
          <w:szCs w:val="30"/>
        </w:rPr>
        <w:t>语言运用：</w:t>
      </w:r>
      <w:r>
        <w:rPr>
          <w:rFonts w:hint="eastAsia" w:ascii="宋体" w:hAnsi="宋体"/>
          <w:sz w:val="24"/>
          <w:szCs w:val="30"/>
        </w:rPr>
        <w:t>引导学生自由讨论交流，提升学生的口语交际能力，培养学生的团队协作能力</w:t>
      </w:r>
    </w:p>
    <w:p w14:paraId="124D6745">
      <w:pPr>
        <w:spacing w:after="0" w:line="360" w:lineRule="auto"/>
        <w:rPr>
          <w:rFonts w:ascii="宋体" w:hAnsi="宋体"/>
          <w:sz w:val="24"/>
          <w:szCs w:val="30"/>
        </w:rPr>
      </w:pPr>
      <w:r>
        <w:rPr>
          <w:rFonts w:hint="eastAsia" w:ascii="宋体" w:hAnsi="宋体"/>
          <w:b/>
          <w:sz w:val="24"/>
          <w:szCs w:val="30"/>
        </w:rPr>
        <w:t>思维能力：</w:t>
      </w:r>
      <w:r>
        <w:rPr>
          <w:rFonts w:hint="eastAsia" w:ascii="宋体" w:hAnsi="宋体"/>
          <w:sz w:val="24"/>
          <w:szCs w:val="30"/>
        </w:rPr>
        <w:t>学习和运用课文语言的基础上，把原文的故事情节加以延伸，将课文改为课本剧，让学生自编、自导、自演。</w:t>
      </w:r>
    </w:p>
    <w:p w14:paraId="3E7F6B81">
      <w:pPr>
        <w:spacing w:after="0" w:line="360" w:lineRule="auto"/>
        <w:rPr>
          <w:rFonts w:ascii="宋体" w:hAnsi="宋体"/>
          <w:sz w:val="24"/>
          <w:szCs w:val="30"/>
        </w:rPr>
      </w:pPr>
      <w:r>
        <w:rPr>
          <w:rFonts w:hint="eastAsia" w:ascii="宋体" w:hAnsi="宋体"/>
          <w:b/>
          <w:sz w:val="24"/>
          <w:szCs w:val="30"/>
        </w:rPr>
        <w:t>审美创造：</w:t>
      </w:r>
      <w:r>
        <w:rPr>
          <w:rFonts w:hint="eastAsia" w:ascii="宋体" w:hAnsi="宋体"/>
          <w:sz w:val="24"/>
          <w:szCs w:val="30"/>
        </w:rPr>
        <w:t>指导学生对课本内容进行改编，通过示范和指导，引领学生亲近名著，感受其魅力。在自主编排的环节，则充分发挥学生的主体作用，让学生从学过的课文中选择自己最感兴趣的故事进行改编，培养独特的创造，创意表演，增强学生的交际自信。</w:t>
      </w:r>
    </w:p>
    <w:p w14:paraId="394BF880">
      <w:pPr>
        <w:spacing w:after="0" w:line="360" w:lineRule="auto"/>
        <w:rPr>
          <w:rFonts w:ascii="宋体" w:hAnsi="宋体"/>
          <w:b/>
          <w:bCs/>
          <w:color w:val="000000"/>
          <w:sz w:val="24"/>
          <w:szCs w:val="24"/>
        </w:rPr>
      </w:pPr>
      <w:r>
        <w:rPr>
          <w:rFonts w:hint="eastAsia" w:ascii="宋体" w:hAnsi="宋体"/>
          <w:b/>
          <w:bCs/>
          <w:color w:val="000000"/>
          <w:sz w:val="24"/>
          <w:szCs w:val="24"/>
        </w:rPr>
        <w:t>【课前解析】</w:t>
      </w:r>
      <w:r>
        <w:rPr>
          <w:rFonts w:ascii="宋体" w:hAnsi="宋体"/>
          <w:b/>
          <w:bCs/>
          <w:color w:val="000000"/>
          <w:sz w:val="24"/>
          <w:szCs w:val="24"/>
        </w:rPr>
        <w:t xml:space="preserve">  </w:t>
      </w:r>
    </w:p>
    <w:p w14:paraId="328908AA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课本剧是语文课堂教学中一抹绚丽的风景，是学生充分理解课文内容，学习和运用课文语言的基础上，把原文的故事情节加以延伸，将课文改为课本剧，让学生自编、自导、自演的结果。在表演过程中，学生们将课本内容巧妙融入剧情中，演绎成一幕幕动人的课本剧，他们用感情饱满的台词、丰富的肢体语言、精美的服装道具、将自己完全融入到剧本的角色中，将剧本中的形象情节演绎的淋漓尽致，同时要求学生发挥想象，培植感情，磨炼毅力，还要求学生有很好的相互协调与配合的能力。演好一出语文课本剧，不仅能加深对课文的理解，培养阅读兴趣;增强学生写作表演能力，培养学生的良好品格，培养学生的活动能力、组织能力、创造能力的有效途径之一。所以，引导学生在读中找戏，变静态为动态，按照 “明格式——学方法——细读文——共编写”的流程创编课本剧。</w:t>
      </w:r>
    </w:p>
    <w:p w14:paraId="4E1E2425">
      <w:pPr>
        <w:spacing w:after="0" w:line="360" w:lineRule="auto"/>
        <w:rPr>
          <w:rFonts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sz w:val="24"/>
          <w:szCs w:val="24"/>
        </w:rPr>
        <w:t>教学目标</w:t>
      </w:r>
      <w:r>
        <w:rPr>
          <w:rFonts w:hint="eastAsia" w:ascii="宋体" w:hAnsi="宋体" w:cs="宋体"/>
          <w:color w:val="000000"/>
          <w:sz w:val="24"/>
          <w:szCs w:val="24"/>
        </w:rPr>
        <w:t>】</w:t>
      </w:r>
    </w:p>
    <w:p w14:paraId="755D76BB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1.了解排演课本剧的步骤，能够根据需要适当改编故事内容，设计符合人物身份、性格的台词、动作和表情。</w:t>
      </w:r>
    </w:p>
    <w:p w14:paraId="1DA0D53A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2.能主持关于“怎么表演课本剧”的讨论，引导每个人积极参与讨论，发表意见，并通过协商形成一致的看法。</w:t>
      </w:r>
    </w:p>
    <w:p w14:paraId="3E20DE1F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3.参与讨论时，能认真题能认真听取别人的意见，尊重大家共同的决定。</w:t>
      </w:r>
    </w:p>
    <w:p w14:paraId="0DF6331E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4.通过排演课本剧，进一步亲近名著，感受中华优秀传统文化的魅力。</w:t>
      </w:r>
    </w:p>
    <w:p w14:paraId="3913AFEF">
      <w:pPr>
        <w:spacing w:after="0" w:line="360" w:lineRule="auto"/>
        <w:rPr>
          <w:rFonts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sz w:val="24"/>
          <w:szCs w:val="24"/>
        </w:rPr>
        <w:t>教学重点</w:t>
      </w:r>
      <w:r>
        <w:rPr>
          <w:rFonts w:hint="eastAsia" w:ascii="宋体" w:hAnsi="宋体" w:cs="宋体"/>
          <w:color w:val="000000"/>
          <w:sz w:val="24"/>
          <w:szCs w:val="24"/>
        </w:rPr>
        <w:t>】</w:t>
      </w:r>
    </w:p>
    <w:p w14:paraId="435139D8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初步了解排演课本剧的步骤，能够根据需要适当改编故事内容，设计符合人物身份、性格的台词、动作和表情。</w:t>
      </w:r>
    </w:p>
    <w:p w14:paraId="1E24DB07">
      <w:pPr>
        <w:spacing w:after="0" w:line="360" w:lineRule="auto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【教学难点】</w:t>
      </w:r>
    </w:p>
    <w:p w14:paraId="06F360EE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开展小组讨论，学会轮流主持，引导组内每个人发表意见，尊重大家的共同决定。</w:t>
      </w:r>
    </w:p>
    <w:p w14:paraId="41DA4594">
      <w:pPr>
        <w:spacing w:after="0" w:line="360" w:lineRule="auto"/>
        <w:rPr>
          <w:rFonts w:ascii="黑体" w:hAnsi="黑体" w:eastAsia="黑体"/>
          <w:b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【课前准备】</w:t>
      </w:r>
    </w:p>
    <w:p w14:paraId="6DAC24AA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多媒体课件。</w:t>
      </w:r>
    </w:p>
    <w:p w14:paraId="00078F2A">
      <w:pPr>
        <w:spacing w:after="0" w:line="360" w:lineRule="auto"/>
        <w:rPr>
          <w:rFonts w:ascii="黑体" w:hAnsi="黑体" w:eastAsia="黑体"/>
          <w:b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课时安排】</w:t>
      </w:r>
      <w:r>
        <w:rPr>
          <w:rFonts w:hint="eastAsia" w:ascii="黑体" w:hAnsi="黑体" w:eastAsia="黑体"/>
          <w:b/>
          <w:sz w:val="24"/>
          <w:szCs w:val="24"/>
        </w:rPr>
        <w:t xml:space="preserve">  </w:t>
      </w:r>
    </w:p>
    <w:p w14:paraId="3D0BE60C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1课时</w:t>
      </w:r>
    </w:p>
    <w:p w14:paraId="0C851F26">
      <w:pPr>
        <w:spacing w:after="0" w:line="360" w:lineRule="auto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【教学过程】</w:t>
      </w:r>
    </w:p>
    <w:p w14:paraId="6A08AC2D">
      <w:pPr>
        <w:spacing w:after="0" w:line="360" w:lineRule="auto"/>
        <w:ind w:firstLine="482" w:firstLineChars="200"/>
        <w:rPr>
          <w:rFonts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一、视频激趣,导入新课</w:t>
      </w:r>
    </w:p>
    <w:p w14:paraId="69C21D1A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1.欣赏一段学生表演的课本剧视频。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出示课件3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56E357B8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2.谈话激趣:视频中,同学们表演的是哪一篇课文的内容?（预设：小英雄雨来）这些同学将课文进行加工后,搬上舞台进行表演,这就是课本剧表演。你们喜欢演课本剧吗?我们也来举行一次课本剧表演活动。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出示课件4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6AA90F8C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3. 揭示课题: 怎样才能演好课本剧呢?这节课,我们就来讨论“怎么表演课本剧”。</w:t>
      </w:r>
    </w:p>
    <w:p w14:paraId="72C668AA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sz w:val="24"/>
          <w:szCs w:val="24"/>
        </w:rPr>
        <w:t>设计意图：</w:t>
      </w:r>
      <w:r>
        <w:rPr>
          <w:rFonts w:hint="eastAsia" w:ascii="楷体" w:hAnsi="楷体" w:eastAsia="楷体"/>
          <w:sz w:val="24"/>
          <w:szCs w:val="24"/>
        </w:rPr>
        <w:t>让学生观看课本剧能够非常有效地吸引学生的目光，激发学生的学习兴趣，引发学生的深入思考。直观形象的视频让学生初步感受课本剧的特点，调动学生的积极性。</w:t>
      </w:r>
      <w:r>
        <w:rPr>
          <w:rFonts w:hint="eastAsia" w:ascii="宋体" w:hAnsi="宋体"/>
          <w:sz w:val="24"/>
          <w:szCs w:val="24"/>
        </w:rPr>
        <w:t>）</w:t>
      </w:r>
    </w:p>
    <w:p w14:paraId="40AA36CC">
      <w:pPr>
        <w:spacing w:after="0" w:line="360" w:lineRule="auto"/>
        <w:ind w:firstLine="482" w:firstLineChars="200"/>
        <w:rPr>
          <w:rFonts w:asciiTheme="minorEastAsia" w:hAnsiTheme="minorEastAsia" w:eastAsiaTheme="minorEastAsia"/>
          <w:b/>
          <w:bCs/>
          <w:sz w:val="24"/>
          <w:szCs w:val="24"/>
        </w:rPr>
      </w:pPr>
      <w:r>
        <w:rPr>
          <w:rFonts w:hint="eastAsia" w:asciiTheme="minorEastAsia" w:hAnsiTheme="minorEastAsia" w:eastAsiaTheme="minorEastAsia"/>
          <w:b/>
          <w:bCs/>
          <w:sz w:val="24"/>
          <w:szCs w:val="24"/>
        </w:rPr>
        <w:t>二、了解讨论内容，明确讨论标准</w:t>
      </w:r>
    </w:p>
    <w:p w14:paraId="5D04FF75">
      <w:pPr>
        <w:spacing w:after="0" w:line="360" w:lineRule="auto"/>
        <w:ind w:firstLine="480" w:firstLineChars="20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1.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出示课件5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Theme="minorEastAsia" w:hAnsiTheme="minorEastAsia" w:eastAsiaTheme="minorEastAsia"/>
          <w:sz w:val="24"/>
          <w:szCs w:val="24"/>
        </w:rPr>
        <w:t>让学生默读口语交际的要求：说一说:本次口语交际的任务是什么?要讨论哪些内容?</w:t>
      </w:r>
    </w:p>
    <w:p w14:paraId="23C9130F">
      <w:pPr>
        <w:spacing w:after="0" w:line="360" w:lineRule="auto"/>
        <w:ind w:firstLine="480" w:firstLineChars="200"/>
        <w:rPr>
          <w:rFonts w:asciiTheme="minorEastAsia" w:hAnsiTheme="minorEastAsia" w:eastAsiaTheme="minorEastAsia"/>
          <w:color w:val="FF0000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FF0000"/>
          <w:sz w:val="24"/>
          <w:szCs w:val="24"/>
        </w:rPr>
        <w:t>(相机板书:选课文 分角色 怎么演)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出示课件6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73ECDAF9">
      <w:pPr>
        <w:spacing w:after="0" w:line="360" w:lineRule="auto"/>
        <w:ind w:firstLine="480" w:firstLineChars="20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2.教师引导： 明确了口语交际的任务和要讨论的内容，接下来我们看看每一条讨论的重点是什么。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出示课件7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609968F5">
      <w:pPr>
        <w:spacing w:after="0" w:line="360" w:lineRule="auto"/>
        <w:ind w:firstLine="480" w:firstLineChars="20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3.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出示课件8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Theme="minorEastAsia" w:hAnsiTheme="minorEastAsia" w:eastAsiaTheme="minorEastAsia"/>
          <w:sz w:val="24"/>
          <w:szCs w:val="24"/>
        </w:rPr>
        <w:t>教师提问引导学生思考:什么样的课文适合表演课本剧?</w:t>
      </w:r>
      <w:r>
        <w:rPr>
          <w:rFonts w:hint="eastAsia" w:asciiTheme="minorEastAsia" w:hAnsiTheme="minorEastAsia" w:eastAsiaTheme="minorEastAsia"/>
          <w:color w:val="FF0000"/>
          <w:sz w:val="24"/>
          <w:szCs w:val="24"/>
        </w:rPr>
        <w:t>（选课文）</w:t>
      </w:r>
    </w:p>
    <w:p w14:paraId="785C6B6C">
      <w:pPr>
        <w:spacing w:after="0" w:line="360" w:lineRule="auto"/>
        <w:ind w:firstLine="480" w:firstLineChars="20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（1）如果在《草船借箭》和《父爱之舟》这两篇课文中选择，你会选择哪篇？</w:t>
      </w:r>
    </w:p>
    <w:p w14:paraId="0C920812">
      <w:pPr>
        <w:spacing w:after="0" w:line="360" w:lineRule="auto"/>
        <w:ind w:firstLine="480" w:firstLineChars="20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预设：选择《草船借箭》，它的情节更跌宕、人物对话更丰富。</w:t>
      </w:r>
    </w:p>
    <w:p w14:paraId="594C5B80">
      <w:pPr>
        <w:spacing w:after="0" w:line="360" w:lineRule="auto"/>
        <w:ind w:firstLine="480" w:firstLineChars="20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（2）如果只有四个人表演，《景阳冈》和《红楼春趣》这两篇课文应该选择哪篇呢？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出示课件9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615F29D8">
      <w:pPr>
        <w:spacing w:after="0" w:line="360" w:lineRule="auto"/>
        <w:ind w:firstLine="480" w:firstLineChars="20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预设：选择《景阳冈》，《红楼春趣》中的人物比较多，我们的人数不够。</w:t>
      </w:r>
    </w:p>
    <w:p w14:paraId="1AD53656">
      <w:pPr>
        <w:spacing w:after="0" w:line="360" w:lineRule="auto"/>
        <w:ind w:firstLine="480" w:firstLineChars="20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4. 师生共同归纳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出示课件10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0092462E">
      <w:pPr>
        <w:spacing w:after="0" w:line="360" w:lineRule="auto"/>
        <w:ind w:firstLine="480" w:firstLineChars="20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(1)情节跌宕起伏,人物对话丰富的课文往往更能吸引观众。</w:t>
      </w:r>
    </w:p>
    <w:p w14:paraId="069B0A63">
      <w:pPr>
        <w:spacing w:after="0" w:line="360" w:lineRule="auto"/>
        <w:ind w:firstLine="480" w:firstLineChars="20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(2)选择课文要考虑文中人物的数量,故事的环境等因素。</w:t>
      </w:r>
    </w:p>
    <w:p w14:paraId="04EA29DF">
      <w:pPr>
        <w:spacing w:after="0" w:line="360" w:lineRule="auto"/>
        <w:ind w:firstLine="480" w:firstLineChars="20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5.教师启发思考: 怎样“分角色”呢?以《草船借箭》为例,我们班哪些同学适合表演诸葛亮、周瑜、鲁肃这三个人物呢?为什么?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出示课件11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 w:cs="宋体"/>
          <w:color w:val="FF0000"/>
          <w:sz w:val="24"/>
          <w:szCs w:val="24"/>
        </w:rPr>
        <w:t>（</w:t>
      </w:r>
      <w:r>
        <w:rPr>
          <w:rFonts w:hint="eastAsia" w:asciiTheme="minorEastAsia" w:hAnsiTheme="minorEastAsia" w:eastAsiaTheme="minorEastAsia"/>
          <w:color w:val="FF0000"/>
          <w:sz w:val="24"/>
          <w:szCs w:val="24"/>
        </w:rPr>
        <w:t>分角色）</w:t>
      </w:r>
    </w:p>
    <w:p w14:paraId="26550DF0">
      <w:pPr>
        <w:spacing w:after="0" w:line="360" w:lineRule="auto"/>
        <w:ind w:firstLine="480" w:firstLineChars="200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6.学生交流后小结:分角色时,我们要考虑：（1）“演员”与角色的形象、性格的相似度是否比较高。（2）“演员”能否表现出角色的特点。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出示课件12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2804740D">
      <w:pPr>
        <w:spacing w:after="0" w:line="360" w:lineRule="auto"/>
        <w:ind w:firstLine="480" w:firstLineChars="200"/>
        <w:rPr>
          <w:rFonts w:ascii="宋体" w:hAnsi="宋体" w:cs="宋体"/>
          <w:color w:val="FF0000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7.教师引导思考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出示课件13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 w:cs="宋体"/>
          <w:sz w:val="24"/>
          <w:szCs w:val="24"/>
        </w:rPr>
        <w:t>：结合我们前面观看的视频思考：要演好课本剧需要哪些准备呢？</w:t>
      </w:r>
      <w:r>
        <w:rPr>
          <w:rFonts w:hint="eastAsia" w:ascii="宋体" w:hAnsi="宋体" w:cs="宋体"/>
          <w:color w:val="FF0000"/>
          <w:sz w:val="24"/>
          <w:szCs w:val="24"/>
        </w:rPr>
        <w:t>（怎么演）</w:t>
      </w:r>
    </w:p>
    <w:p w14:paraId="4DE4E027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8.</w:t>
      </w:r>
      <w:r>
        <w:rPr>
          <w:rFonts w:hint="eastAsia" w:asciiTheme="minorEastAsia" w:hAnsiTheme="minorEastAsia" w:eastAsiaTheme="minorEastAsia"/>
          <w:sz w:val="24"/>
          <w:szCs w:val="24"/>
        </w:rPr>
        <w:t>学生交流后小结</w:t>
      </w:r>
      <w:r>
        <w:rPr>
          <w:rFonts w:hint="eastAsia" w:ascii="宋体" w:hAnsi="宋体" w:cs="宋体"/>
          <w:sz w:val="24"/>
          <w:szCs w:val="24"/>
        </w:rPr>
        <w:t>：关于怎么演，我们要考虑：（1）</w:t>
      </w:r>
      <w:r>
        <w:rPr>
          <w:rFonts w:ascii="宋体" w:hAnsi="宋体" w:cs="宋体"/>
          <w:sz w:val="24"/>
          <w:szCs w:val="24"/>
        </w:rPr>
        <w:t>如何设计角色的台词、表情、动作等。</w:t>
      </w:r>
      <w:r>
        <w:rPr>
          <w:rFonts w:hint="eastAsia" w:ascii="宋体" w:hAnsi="宋体" w:cs="宋体"/>
          <w:sz w:val="24"/>
          <w:szCs w:val="24"/>
        </w:rPr>
        <w:t>（2）</w:t>
      </w:r>
      <w:r>
        <w:rPr>
          <w:rFonts w:ascii="宋体" w:hAnsi="宋体" w:cs="宋体"/>
          <w:sz w:val="24"/>
          <w:szCs w:val="24"/>
        </w:rPr>
        <w:t>需要准备哪些服装和道具。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出示课件14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6078124E">
      <w:pPr>
        <w:spacing w:after="0" w:line="360" w:lineRule="auto"/>
        <w:ind w:firstLine="480" w:firstLineChars="200"/>
        <w:rPr>
          <w:rFonts w:asciiTheme="minorEastAsia" w:hAnsiTheme="minorEastAsia" w:eastAsiaTheme="minorEastAsia"/>
          <w:b/>
          <w:bCs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sz w:val="24"/>
          <w:szCs w:val="24"/>
        </w:rPr>
        <w:t>设计意图：</w:t>
      </w:r>
      <w:r>
        <w:rPr>
          <w:rFonts w:hint="eastAsia" w:ascii="楷体" w:hAnsi="楷体" w:eastAsia="楷体"/>
          <w:sz w:val="24"/>
          <w:szCs w:val="24"/>
        </w:rPr>
        <w:t>利用教材，直奔教学主题，能够迅速激活学生的思维，激发学生的学习兴趣，引发学生的学习期待。</w:t>
      </w:r>
      <w:r>
        <w:rPr>
          <w:rFonts w:hint="eastAsia" w:ascii="宋体" w:hAnsi="宋体"/>
          <w:sz w:val="24"/>
          <w:szCs w:val="24"/>
        </w:rPr>
        <w:t>）</w:t>
      </w:r>
    </w:p>
    <w:p w14:paraId="796327E1">
      <w:pPr>
        <w:spacing w:after="0" w:line="360" w:lineRule="auto"/>
        <w:ind w:firstLine="482" w:firstLineChars="200"/>
        <w:rPr>
          <w:rFonts w:asciiTheme="minorEastAsia" w:hAnsiTheme="minorEastAsia" w:eastAsiaTheme="minorEastAsia"/>
          <w:b/>
          <w:bCs/>
          <w:sz w:val="24"/>
          <w:szCs w:val="24"/>
        </w:rPr>
      </w:pPr>
      <w:r>
        <w:rPr>
          <w:rFonts w:hint="eastAsia" w:asciiTheme="minorEastAsia" w:hAnsiTheme="minorEastAsia" w:eastAsiaTheme="minorEastAsia"/>
          <w:b/>
          <w:bCs/>
          <w:sz w:val="24"/>
          <w:szCs w:val="24"/>
        </w:rPr>
        <w:t>三、师生合作练习,明确讨论要求</w:t>
      </w:r>
    </w:p>
    <w:p w14:paraId="6BFDD201">
      <w:pPr>
        <w:spacing w:after="0" w:line="360" w:lineRule="auto"/>
        <w:ind w:firstLine="480" w:firstLineChars="20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1.让学生默读教材第三部分的内容,引导学生交流:讨论的时候,主持人和组员应该怎么做?请用不同的记号标出来。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出示课件15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036E6687">
      <w:pPr>
        <w:spacing w:after="0" w:line="360" w:lineRule="auto"/>
        <w:ind w:firstLine="480" w:firstLineChars="20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(1)学生默读、圈画后展开交流。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出示课件16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3D600DC1">
      <w:pPr>
        <w:spacing w:after="0" w:line="360" w:lineRule="auto"/>
        <w:ind w:firstLine="480" w:firstLineChars="20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(2)师生共同总结。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出示课件17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28FC6E3F">
      <w:pPr>
        <w:spacing w:after="0" w:line="360" w:lineRule="auto"/>
        <w:ind w:firstLine="480" w:firstLineChars="20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①对主持人的要求有:小组成员轮流主持,引导每一位组员发言,组内意见不统一时要组织协调并尊重大家的意见。</w:t>
      </w:r>
    </w:p>
    <w:p w14:paraId="771E2526">
      <w:pPr>
        <w:spacing w:after="0" w:line="360" w:lineRule="auto"/>
        <w:ind w:firstLine="480" w:firstLineChars="20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②对组员的要求有:清楚表达自己的意见,认真听取别人的意见,尊重大家的意见。</w:t>
      </w:r>
    </w:p>
    <w:p w14:paraId="5A8420D5">
      <w:pPr>
        <w:spacing w:after="0" w:line="360" w:lineRule="auto"/>
        <w:ind w:firstLine="480" w:firstLineChars="20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2.师生合作,示范讨论“选课文”:下面,请三位同学上台和老师一起讨论“选课文”,其他同学认真观察主持人的做法和小组成员的表现。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出示课件18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19EC794D">
      <w:pPr>
        <w:spacing w:after="0" w:line="360" w:lineRule="auto"/>
        <w:ind w:firstLine="480" w:firstLineChars="20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3.教师做主持人,与学生配合示范选课文环节的讨论。</w:t>
      </w:r>
    </w:p>
    <w:p w14:paraId="1FF6445C">
      <w:pPr>
        <w:spacing w:after="0" w:line="360" w:lineRule="auto"/>
        <w:ind w:firstLine="480" w:firstLineChars="20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(1)主持人提出讨论话题,引导每一位组员发表意见。</w:t>
      </w:r>
    </w:p>
    <w:p w14:paraId="45A9388A">
      <w:pPr>
        <w:spacing w:after="0" w:line="360" w:lineRule="auto"/>
        <w:ind w:firstLine="480" w:firstLineChars="20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(2)当组员意见不一致时,主持人引导每一位组员说出自己的想法。</w:t>
      </w:r>
    </w:p>
    <w:p w14:paraId="07EAEC0A">
      <w:pPr>
        <w:spacing w:after="0" w:line="360" w:lineRule="auto"/>
        <w:ind w:firstLine="480" w:firstLineChars="20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(3)主持人以“是否是课文中的精彩片段”“是否适合表演”为标准,组织组员再次讨论。最终形成一致的看法。</w:t>
      </w:r>
    </w:p>
    <w:p w14:paraId="5A6DF04E">
      <w:pPr>
        <w:spacing w:after="0" w:line="360" w:lineRule="auto"/>
        <w:ind w:firstLine="480" w:firstLineChars="200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4.教师引导学生评价:你觉得主持人的哪些做法值得学习?组员哪些地方做得好?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出示课件19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46A8D4C6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预设1：主持人不仅让有想法的同学充分地表达了观点，而且还关注到了那些不太主动发言的同学。</w:t>
      </w:r>
    </w:p>
    <w:p w14:paraId="55F7941C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预设2：  组员发言都比较积极；需要改进的就是当意见不同意时，还是有些激动。</w:t>
      </w:r>
    </w:p>
    <w:p w14:paraId="15F9CA65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</w:p>
    <w:p w14:paraId="2AD63E76">
      <w:pPr>
        <w:spacing w:after="0" w:line="360" w:lineRule="auto"/>
        <w:ind w:firstLine="480" w:firstLineChars="20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5.教师引导学生思考:</w:t>
      </w:r>
    </w:p>
    <w:p w14:paraId="7827106D">
      <w:pPr>
        <w:spacing w:after="0" w:line="360" w:lineRule="auto"/>
        <w:ind w:firstLine="480" w:firstLineChars="20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（1）如果你是主持人,要怎样引导大家积极发言?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出示课件20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0DAE2474">
      <w:pPr>
        <w:spacing w:after="0" w:line="360" w:lineRule="auto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预设： 主持人可以先说说自己的想法，开拓组员的思路，鼓励他们积极参与到讨论中来。</w:t>
      </w:r>
    </w:p>
    <w:p w14:paraId="6CB93D8B">
      <w:pPr>
        <w:spacing w:after="0" w:line="360" w:lineRule="auto"/>
        <w:ind w:firstLine="480" w:firstLineChars="20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（2）组员意见不统一时,作为主持人要怎样协调?</w:t>
      </w:r>
    </w:p>
    <w:p w14:paraId="197B01AC">
      <w:pPr>
        <w:spacing w:after="0" w:line="360" w:lineRule="auto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预设：可以让组员说一说支持或反对的理由，让大家共同评判后得出结论，从而取得一致。</w:t>
      </w:r>
    </w:p>
    <w:p w14:paraId="1EFBE6D9">
      <w:pPr>
        <w:spacing w:after="0" w:line="360" w:lineRule="auto"/>
        <w:ind w:firstLine="480" w:firstLineChars="20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（3）作为组员,如果自己的意见和别人出现分歧怎么办?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出示课件21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40D3D19F">
      <w:pPr>
        <w:spacing w:after="0" w:line="360" w:lineRule="auto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预设：当自己的意见和别人不同时，我会充分表达自己的想法，并注意听别人的观点和理由；如果别人理由充分，已经达成一致，我就不会再坚持自己的观点了。</w:t>
      </w:r>
    </w:p>
    <w:p w14:paraId="191DA2D8">
      <w:pPr>
        <w:spacing w:after="0" w:line="360" w:lineRule="auto"/>
        <w:ind w:firstLine="480" w:firstLineChars="20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sz w:val="24"/>
          <w:szCs w:val="24"/>
        </w:rPr>
        <w:t>设计意图：</w:t>
      </w:r>
      <w:r>
        <w:rPr>
          <w:rFonts w:hint="eastAsia" w:ascii="楷体" w:hAnsi="楷体" w:eastAsia="楷体"/>
          <w:sz w:val="24"/>
        </w:rPr>
        <w:t>师生合作演练，教给学生主持讨论的方法，引导学生清楚地表达自己的意见，并能够听取最合理的意见，尊重大家共同的决定，提升口语交际的品质。</w:t>
      </w:r>
      <w:r>
        <w:rPr>
          <w:rFonts w:hint="eastAsia" w:ascii="宋体" w:hAnsi="宋体"/>
          <w:sz w:val="24"/>
          <w:szCs w:val="24"/>
        </w:rPr>
        <w:t>）</w:t>
      </w:r>
    </w:p>
    <w:p w14:paraId="20FD0965">
      <w:pPr>
        <w:spacing w:after="0" w:line="360" w:lineRule="auto"/>
        <w:ind w:firstLine="482" w:firstLineChars="200"/>
        <w:rPr>
          <w:rFonts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b/>
          <w:sz w:val="24"/>
          <w:szCs w:val="24"/>
        </w:rPr>
        <w:t>四、分组练习,展开讨论</w:t>
      </w:r>
    </w:p>
    <w:p w14:paraId="265E21C3">
      <w:pPr>
        <w:spacing w:after="0" w:line="360" w:lineRule="auto"/>
        <w:ind w:firstLine="480" w:firstLineChars="200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1.教师明确要求： 四人小组中每一位同学分别主持“选课文”“分角色”</w:t>
      </w:r>
    </w:p>
    <w:p w14:paraId="044206EB">
      <w:pPr>
        <w:spacing w:after="0" w:line="360" w:lineRule="auto"/>
        <w:ind w:firstLine="480" w:firstLineChars="200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课件出示学习提示 ：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出示课件22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74100703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 xml:space="preserve"> </w:t>
      </w:r>
      <w:r>
        <w:rPr>
          <w:rFonts w:hint="eastAsia" w:ascii="微软雅黑" w:hAnsi="微软雅黑" w:eastAsia="微软雅黑" w:cs="微软雅黑"/>
          <w:sz w:val="24"/>
          <w:szCs w:val="24"/>
        </w:rPr>
        <w:t>①</w:t>
      </w:r>
      <w:r>
        <w:rPr>
          <w:rFonts w:hint="eastAsia" w:ascii="宋体" w:hAnsi="宋体" w:cs="宋体"/>
          <w:sz w:val="24"/>
          <w:szCs w:val="24"/>
        </w:rPr>
        <w:t>小组内轮流当主持人。</w:t>
      </w:r>
      <w:r>
        <w:rPr>
          <w:rFonts w:hint="eastAsia" w:ascii="微软雅黑" w:hAnsi="微软雅黑" w:eastAsia="微软雅黑" w:cs="微软雅黑"/>
          <w:sz w:val="24"/>
          <w:szCs w:val="24"/>
        </w:rPr>
        <w:t>②</w:t>
      </w:r>
      <w:r>
        <w:rPr>
          <w:rFonts w:hint="eastAsia" w:ascii="宋体" w:hAnsi="宋体" w:cs="宋体"/>
          <w:sz w:val="24"/>
          <w:szCs w:val="24"/>
        </w:rPr>
        <w:t>每一个环节的讨论时间不要太久，尽量控制在2分钟以内</w:t>
      </w:r>
      <w:r>
        <w:rPr>
          <w:rFonts w:hint="eastAsia" w:ascii="微软雅黑" w:hAnsi="微软雅黑" w:eastAsia="微软雅黑" w:cs="微软雅黑"/>
          <w:sz w:val="24"/>
          <w:szCs w:val="24"/>
        </w:rPr>
        <w:t>③</w:t>
      </w:r>
      <w:r>
        <w:rPr>
          <w:rFonts w:hint="eastAsia" w:ascii="宋体" w:hAnsi="宋体" w:cs="宋体"/>
          <w:sz w:val="24"/>
          <w:szCs w:val="24"/>
        </w:rPr>
        <w:t>先确定每个环节由谁来主持，以保证讨论有序、高效地进行。</w:t>
      </w:r>
    </w:p>
    <w:p w14:paraId="25E9ED49">
      <w:pPr>
        <w:spacing w:after="0" w:line="360" w:lineRule="auto"/>
        <w:ind w:firstLine="480" w:firstLineChars="200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2.四人一组，自主进行“怎么演”角度的讨论。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出示课件23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1A40D247">
      <w:pPr>
        <w:spacing w:after="0" w:line="360" w:lineRule="auto"/>
        <w:ind w:firstLine="720" w:firstLineChars="300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提示：“怎么演”可以分为“人物的语言、表情、动作”和“服装、道具”两项内容，分别进行讨论。服装、道具的准备是辅助性问题，不是必需的，不要在这一环节花费过多的时间和精力。</w:t>
      </w:r>
    </w:p>
    <w:p w14:paraId="43CFAF95">
      <w:pPr>
        <w:spacing w:after="0" w:line="360" w:lineRule="auto"/>
        <w:ind w:firstLine="480" w:firstLineChars="200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3.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出示课件24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 w:cs="宋体"/>
          <w:bCs/>
          <w:sz w:val="24"/>
          <w:szCs w:val="24"/>
        </w:rPr>
        <w:t>教师出示范例《西门豹治邺》,指导学生如何“讨论人物的语言、动作和神态”。</w:t>
      </w:r>
    </w:p>
    <w:p w14:paraId="118FAD0A">
      <w:pPr>
        <w:spacing w:after="0" w:line="360" w:lineRule="auto"/>
        <w:ind w:firstLine="480" w:firstLineChars="200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(1)让学生回顾《西门豹治邺》课文及课后的“阅读链接”思考:从课文到剧本,都有哪些变化?</w:t>
      </w:r>
    </w:p>
    <w:p w14:paraId="4FEE1E2A">
      <w:pPr>
        <w:spacing w:after="0" w:line="360" w:lineRule="auto"/>
        <w:ind w:firstLine="480" w:firstLineChars="200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(2) 学生交流,师生共同总结。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出示课件25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7D0820AC">
      <w:pPr>
        <w:spacing w:after="0" w:line="360" w:lineRule="auto"/>
        <w:ind w:firstLine="480" w:firstLineChars="200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①要将课文中叙述性的语言转换为人物的对话、动作和神态。</w:t>
      </w:r>
    </w:p>
    <w:p w14:paraId="3BDA6A82">
      <w:pPr>
        <w:spacing w:after="0" w:line="360" w:lineRule="auto"/>
        <w:ind w:firstLine="480" w:firstLineChars="200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②设计的人物语言、动作和神态要符合角色的内心情感和性格特点。</w:t>
      </w:r>
    </w:p>
    <w:p w14:paraId="4534D92A">
      <w:pPr>
        <w:spacing w:after="0" w:line="360" w:lineRule="auto"/>
        <w:ind w:firstLine="480" w:firstLineChars="200"/>
        <w:rPr>
          <w:rFonts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4.每组根据选择的课文，引导学生展开讨论。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出示课件26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177BF53B">
      <w:pPr>
        <w:spacing w:after="0" w:line="360" w:lineRule="auto"/>
        <w:ind w:firstLine="480" w:firstLineChars="200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5.学生小组练习,教师巡视指导。</w:t>
      </w:r>
    </w:p>
    <w:p w14:paraId="097B8B2A">
      <w:pPr>
        <w:spacing w:after="0" w:line="360" w:lineRule="auto"/>
        <w:ind w:firstLine="480" w:firstLineChars="200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sz w:val="24"/>
          <w:szCs w:val="24"/>
        </w:rPr>
        <w:t>设计意图：</w:t>
      </w:r>
      <w:r>
        <w:rPr>
          <w:rFonts w:hint="eastAsia" w:ascii="楷体" w:hAnsi="楷体" w:eastAsia="楷体"/>
          <w:sz w:val="24"/>
        </w:rPr>
        <w:t>将本环节的交际话题分步实施，逐层加深，学生在大量的语言实践活动中平等对话，多边互动，语言获得实实在在的发展，交际的能力得以真真切切的提升。在此过程中，教师还结合具体实例适时渗透一些改编人物台词的方法，有效地化解了教学难点。然后，教师放手让学生分组改编人物的台词，由扶到放，以法导练，学以致用，提升能力。</w:t>
      </w:r>
      <w:r>
        <w:rPr>
          <w:rFonts w:hint="eastAsia" w:ascii="宋体" w:hAnsi="宋体"/>
          <w:sz w:val="24"/>
          <w:szCs w:val="24"/>
        </w:rPr>
        <w:t>）</w:t>
      </w:r>
    </w:p>
    <w:p w14:paraId="63967C9C">
      <w:pPr>
        <w:spacing w:after="0" w:line="360" w:lineRule="auto"/>
        <w:ind w:firstLine="482" w:firstLineChars="200"/>
        <w:rPr>
          <w:rFonts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b/>
          <w:sz w:val="24"/>
          <w:szCs w:val="24"/>
        </w:rPr>
        <w:t>五、小组展示,共同评价</w:t>
      </w:r>
    </w:p>
    <w:p w14:paraId="1F3748E9">
      <w:pPr>
        <w:spacing w:after="0" w:line="360" w:lineRule="auto"/>
        <w:ind w:firstLine="480" w:firstLineChars="200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1.请四个小组分别上台展示四个讨论环节,师生对照评价表分别评价主持人和组员的表现。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出示课件27-28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26F4DD20">
      <w:pPr>
        <w:spacing w:after="0" w:line="360" w:lineRule="auto"/>
        <w:ind w:firstLine="440" w:firstLineChars="200"/>
        <w:jc w:val="center"/>
        <w:rPr>
          <w:rFonts w:ascii="宋体" w:hAnsi="宋体" w:cs="宋体"/>
          <w:b/>
          <w:bCs/>
          <w:color w:val="0070C0"/>
          <w:sz w:val="24"/>
          <w:szCs w:val="24"/>
        </w:rPr>
      </w:pPr>
      <w:r>
        <w:drawing>
          <wp:inline distT="0" distB="0" distL="0" distR="0">
            <wp:extent cx="4235450" cy="2032000"/>
            <wp:effectExtent l="0" t="0" r="0" b="6350"/>
            <wp:docPr id="383061955" name="图片 1" descr="文本&#10;&#10;中度可信度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3061955" name="图片 1" descr="文本&#10;&#10;中度可信度描述已自动生成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251114" cy="20395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AD3DD3C">
      <w:pPr>
        <w:spacing w:after="0" w:line="360" w:lineRule="auto"/>
        <w:ind w:firstLine="480" w:firstLineChars="200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(1)学生自评:说说自己做得好的地方,还有哪些不足之处。</w:t>
      </w:r>
    </w:p>
    <w:p w14:paraId="4CDAFAA6">
      <w:pPr>
        <w:spacing w:after="0" w:line="360" w:lineRule="auto"/>
        <w:ind w:firstLine="480" w:firstLineChars="200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(2)生生互评:举例说说主持人和组员有哪些值得我们学习的地方,有什么更好的建议。</w:t>
      </w:r>
    </w:p>
    <w:p w14:paraId="07CE8075">
      <w:pPr>
        <w:spacing w:after="0" w:line="360" w:lineRule="auto"/>
        <w:ind w:firstLine="480" w:firstLineChars="200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(3)教师小结,鼓励学生。</w:t>
      </w:r>
    </w:p>
    <w:p w14:paraId="1822CD4A">
      <w:pPr>
        <w:spacing w:after="0" w:line="360" w:lineRule="auto"/>
        <w:ind w:firstLine="480" w:firstLineChars="200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2.全班评选优秀小组、最佳主持人、最佳组员。</w:t>
      </w:r>
    </w:p>
    <w:p w14:paraId="0A2A5FFC">
      <w:pPr>
        <w:spacing w:after="0" w:line="360" w:lineRule="auto"/>
        <w:ind w:firstLine="480" w:firstLineChars="200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3.布置开展课本剧表演活动。</w:t>
      </w:r>
    </w:p>
    <w:p w14:paraId="16B100B2">
      <w:pPr>
        <w:spacing w:after="0" w:line="360" w:lineRule="auto"/>
        <w:ind w:firstLine="480" w:firstLineChars="200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sz w:val="24"/>
          <w:szCs w:val="24"/>
        </w:rPr>
        <w:t>设计意图：</w:t>
      </w:r>
      <w:r>
        <w:rPr>
          <w:rFonts w:hint="eastAsia" w:ascii="楷体" w:hAnsi="楷体" w:eastAsia="楷体"/>
          <w:sz w:val="24"/>
          <w:szCs w:val="24"/>
        </w:rPr>
        <w:t>让一组学生上台表演，以检测学习成效。此举不仅让参与表演的学生过了一把戏瘾，品味成功的快乐，同时也让观看的同学享受到学习的乐趣。之后引导学生进行评价，再次激活了学生的思维，提高学生的思辨能力和评价能力。</w:t>
      </w:r>
      <w:r>
        <w:rPr>
          <w:rFonts w:hint="eastAsia" w:ascii="宋体" w:hAnsi="宋体"/>
          <w:sz w:val="24"/>
          <w:szCs w:val="24"/>
        </w:rPr>
        <w:t>）</w:t>
      </w:r>
    </w:p>
    <w:p w14:paraId="1F745E58">
      <w:pPr>
        <w:spacing w:after="0" w:line="360" w:lineRule="auto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sz w:val="24"/>
          <w:szCs w:val="24"/>
        </w:rPr>
        <w:t>板书设计</w:t>
      </w:r>
      <w:r>
        <w:rPr>
          <w:rFonts w:hint="eastAsia" w:ascii="宋体" w:hAnsi="宋体" w:cs="宋体"/>
          <w:color w:val="000000"/>
          <w:sz w:val="24"/>
          <w:szCs w:val="24"/>
        </w:rPr>
        <w:t>】</w:t>
      </w:r>
    </w:p>
    <w:p w14:paraId="4E5419DA">
      <w:pPr>
        <w:spacing w:after="0" w:line="360" w:lineRule="auto"/>
        <w:jc w:val="center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口语交际:怎么表演课本剧</w:t>
      </w:r>
    </w:p>
    <w:p w14:paraId="0B70AFC4">
      <w:pPr>
        <w:spacing w:after="0" w:line="360" w:lineRule="auto"/>
        <w:ind w:firstLine="1440" w:firstLineChars="600"/>
        <w:jc w:val="both"/>
        <w:rPr>
          <w:rFonts w:ascii="宋体" w:hAnsi="宋体" w:cs="宋体"/>
          <w:bCs/>
          <w:sz w:val="24"/>
          <w:szCs w:val="24"/>
        </w:rPr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3817620</wp:posOffset>
                </wp:positionH>
                <wp:positionV relativeFrom="paragraph">
                  <wp:posOffset>66675</wp:posOffset>
                </wp:positionV>
                <wp:extent cx="85725" cy="647065"/>
                <wp:effectExtent l="4445" t="4445" r="5080" b="15240"/>
                <wp:wrapNone/>
                <wp:docPr id="9" name="左大括号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5725" cy="647065"/>
                        </a:xfrm>
                        <a:prstGeom prst="leftBrac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87" type="#_x0000_t87" style="position:absolute;left:0pt;margin-left:300.6pt;margin-top:5.25pt;height:50.95pt;width:6.75pt;z-index:251660288;mso-width-relative:page;mso-height-relative:page;" filled="f" stroked="t" coordsize="21600,21600" o:gfxdata="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DBVSFV1wAAAAoBAAAPAAAAAAAAAAEAIAAAACIAAABkcnMvZG93bnJldi54bWxQSwEC&#10;FAAUAAAACACHTuJA8LP6d/UBAADYAwAADgAAAAAAAAABACAAAAAmAQAAZHJzL2Uyb0RvYy54bWxQ&#10;SwUGAAAAAAYABgBZAQAAjQUAAAAA&#10;" adj="238,10800">
                <v:fill on="f" focussize="0,0"/>
                <v:stroke color="#4A7EBB [3204]" joinstyle="round"/>
                <v:imagedata o:title=""/>
                <o:lock v:ext="edit" aspectratio="f"/>
              </v:shape>
            </w:pict>
          </mc:Fallback>
        </mc:AlternateContent>
      </w:r>
      <w:r>
        <w:rPr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2074545</wp:posOffset>
                </wp:positionH>
                <wp:positionV relativeFrom="paragraph">
                  <wp:posOffset>66675</wp:posOffset>
                </wp:positionV>
                <wp:extent cx="85725" cy="647065"/>
                <wp:effectExtent l="4445" t="4445" r="5080" b="15240"/>
                <wp:wrapNone/>
                <wp:docPr id="7" name="左大括号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794635" y="4961890"/>
                          <a:ext cx="85725" cy="647065"/>
                        </a:xfrm>
                        <a:prstGeom prst="leftBrac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87" type="#_x0000_t87" style="position:absolute;left:0pt;margin-left:163.35pt;margin-top:5.25pt;height:50.95pt;width:6.75pt;z-index:251659264;mso-width-relative:page;mso-height-relative:page;" filled="f" stroked="t" coordsize="21600,21600" o:gfxdata="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KUUYgDXAAAACgEAAA8AAAAAAAAAAQAgAAAAIgAAAGRycy9k&#10;b3ducmV2LnhtbFBLAQIUABQAAAAIAIdO4kBQ/XA0AwIAAOQDAAAOAAAAAAAAAAEAIAAAACYBAABk&#10;cnMvZTJvRG9jLnhtbFBLBQYAAAAABgAGAFkBAACbBQAAAAA=&#10;" adj="238,10800">
                <v:fill on="f" focussize="0,0"/>
                <v:stroke color="#4A7EBB [3204]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宋体" w:hAnsi="宋体" w:cs="宋体"/>
          <w:bCs/>
          <w:sz w:val="24"/>
          <w:szCs w:val="24"/>
        </w:rPr>
        <w:t>选课文           引导大家发言           听取他人意见</w:t>
      </w:r>
    </w:p>
    <w:p w14:paraId="7D13B76F">
      <w:pPr>
        <w:spacing w:after="0" w:line="360" w:lineRule="auto"/>
        <w:ind w:firstLine="1440" w:firstLineChars="600"/>
        <w:jc w:val="both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分角色   主持人                   组员</w:t>
      </w:r>
    </w:p>
    <w:p w14:paraId="7871173B">
      <w:pPr>
        <w:spacing w:after="0" w:line="360" w:lineRule="auto"/>
        <w:ind w:firstLine="1440" w:firstLineChars="600"/>
        <w:jc w:val="both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怎么演           尊重大家意见           尊重大家决定</w:t>
      </w:r>
    </w:p>
    <w:p w14:paraId="259520A8">
      <w:pPr>
        <w:spacing w:after="0" w:line="360" w:lineRule="auto"/>
        <w:jc w:val="center"/>
        <w:rPr>
          <w:rFonts w:ascii="宋体" w:hAnsi="宋体"/>
          <w:color w:val="000000"/>
          <w:sz w:val="24"/>
          <w:szCs w:val="24"/>
        </w:rPr>
      </w:pPr>
    </w:p>
    <w:p w14:paraId="651287FF">
      <w:pPr>
        <w:spacing w:after="0" w:line="360" w:lineRule="auto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sz w:val="24"/>
          <w:szCs w:val="24"/>
        </w:rPr>
        <w:t>教学反思</w:t>
      </w:r>
      <w:r>
        <w:rPr>
          <w:rFonts w:hint="eastAsia" w:ascii="宋体" w:hAnsi="宋体" w:cs="宋体"/>
          <w:color w:val="000000"/>
          <w:sz w:val="24"/>
          <w:szCs w:val="24"/>
        </w:rPr>
        <w:t>】</w:t>
      </w:r>
    </w:p>
    <w:p w14:paraId="12F83FF8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对五年级学生而言，如何将课文语言转换为课本剧中人物的台词、动作、神态，是一个难点。所以在本次教学中，我选取了《西门豹治邺》中的一个片段，指导学生进行改编，通过示范和指导，突破这一难点，引领学生亲近名著，感受其魅力。而在随后的学生自主编排的环节，则充分发挥学生的主体作用，让学生从学过的课文中选择自己最感兴趣的故事进行改编。这一阶段的学生活泼好动，善于模仿，喜爱课本剧表演活动。而改编自己喜欢的故事，也更有利于创建轻松的交际氛围，增强学生的交际自信。</w:t>
      </w:r>
    </w:p>
    <w:p w14:paraId="58BACA02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对于这一学段的学生而言，开展讨论不成问题，但是讨论中话语权常常掌握在语言交际能力突出的学生中，不擅长表达的学生，很有可能成为“听众”。所以，轮流做主持人，引导小组成员中的每个人都发表意见尤为重要。对于想法独特、坚持己见的学生，如何让他们与小组其他成员形成一致的看法还是有难度的。因而，教学中如何让主持人引导组员达成共识，也成为本次口语交际教学的一个难点。</w:t>
      </w:r>
    </w:p>
    <w:sectPr>
      <w:headerReference r:id="rId6" w:type="first"/>
      <w:footerReference r:id="rId9" w:type="first"/>
      <w:headerReference r:id="rId4" w:type="default"/>
      <w:footerReference r:id="rId7" w:type="default"/>
      <w:headerReference r:id="rId5" w:type="even"/>
      <w:footerReference r:id="rId8" w:type="even"/>
      <w:pgSz w:w="11906" w:h="16838"/>
      <w:pgMar w:top="1134" w:right="1134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F01528C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F9E68ED">
    <w:pPr>
      <w:pStyle w:val="3"/>
      <w:framePr w:wrap="around" w:vAnchor="text" w:hAnchor="margin" w:xAlign="right" w:y="1"/>
      <w:pBdr>
        <w:bottom w:val="none" w:color="auto" w:sz="0" w:space="0"/>
      </w:pBdr>
      <w:rPr>
        <w:rStyle w:val="10"/>
      </w:rPr>
    </w:pPr>
    <w:r>
      <w:fldChar w:fldCharType="begin"/>
    </w:r>
    <w:r>
      <w:rPr>
        <w:rStyle w:val="10"/>
      </w:rPr>
      <w:instrText xml:space="preserve">PAGE  </w:instrText>
    </w:r>
    <w:r>
      <w:fldChar w:fldCharType="separate"/>
    </w:r>
    <w:r>
      <w:fldChar w:fldCharType="end"/>
    </w:r>
  </w:p>
  <w:p w14:paraId="7B2C5896">
    <w:pPr>
      <w:pStyle w:val="3"/>
      <w:pBdr>
        <w:bottom w:val="none" w:color="auto" w:sz="0" w:space="0"/>
      </w:pBdr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1A3953B">
    <w:pPr>
      <w:pStyle w:val="3"/>
      <w:pBdr>
        <w:bottom w:val="none" w:color="auto" w:sz="0" w:space="0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E5BA37D">
    <w:pPr>
      <w:pStyle w:val="4"/>
      <w:pBdr>
        <w:bottom w:val="none" w:color="auto" w:sz="0" w:space="1"/>
      </w:pBdr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7DCF17A">
    <w:pPr>
      <w:pStyle w:val="4"/>
      <w:pBdr>
        <w:bottom w:val="none" w:color="auto" w:sz="0" w:space="0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5E3C029">
    <w:pPr>
      <w:pStyle w:val="4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Tk3MTc5YWIyMzc4OGFiNDdiZThmMmVjMGM4YTQ0NGMifQ=="/>
  </w:docVars>
  <w:rsids>
    <w:rsidRoot w:val="00D31D50"/>
    <w:rsid w:val="000173C5"/>
    <w:rsid w:val="000277D9"/>
    <w:rsid w:val="00031D32"/>
    <w:rsid w:val="00036EC1"/>
    <w:rsid w:val="00047048"/>
    <w:rsid w:val="00052955"/>
    <w:rsid w:val="000534D3"/>
    <w:rsid w:val="00060706"/>
    <w:rsid w:val="0006672E"/>
    <w:rsid w:val="0007362B"/>
    <w:rsid w:val="00080A77"/>
    <w:rsid w:val="0008656F"/>
    <w:rsid w:val="00087E3D"/>
    <w:rsid w:val="00094D80"/>
    <w:rsid w:val="00097AB5"/>
    <w:rsid w:val="000A673A"/>
    <w:rsid w:val="000B0A99"/>
    <w:rsid w:val="000C20B6"/>
    <w:rsid w:val="000C4B26"/>
    <w:rsid w:val="000D62BE"/>
    <w:rsid w:val="000E112A"/>
    <w:rsid w:val="000E144F"/>
    <w:rsid w:val="000E4B54"/>
    <w:rsid w:val="000F0E0F"/>
    <w:rsid w:val="00105995"/>
    <w:rsid w:val="001151CC"/>
    <w:rsid w:val="00134E9C"/>
    <w:rsid w:val="0015059C"/>
    <w:rsid w:val="00150D97"/>
    <w:rsid w:val="0015749C"/>
    <w:rsid w:val="00160E9E"/>
    <w:rsid w:val="001633F5"/>
    <w:rsid w:val="001642EF"/>
    <w:rsid w:val="00164EA0"/>
    <w:rsid w:val="00171D30"/>
    <w:rsid w:val="0019048E"/>
    <w:rsid w:val="001907C2"/>
    <w:rsid w:val="001A0051"/>
    <w:rsid w:val="001B02F0"/>
    <w:rsid w:val="001C536E"/>
    <w:rsid w:val="001C5AB7"/>
    <w:rsid w:val="001D1A4D"/>
    <w:rsid w:val="001E1C37"/>
    <w:rsid w:val="001F17A7"/>
    <w:rsid w:val="002116F5"/>
    <w:rsid w:val="00223BAF"/>
    <w:rsid w:val="00225E37"/>
    <w:rsid w:val="0023527F"/>
    <w:rsid w:val="002625D2"/>
    <w:rsid w:val="00263118"/>
    <w:rsid w:val="002679A7"/>
    <w:rsid w:val="00276001"/>
    <w:rsid w:val="00277CF7"/>
    <w:rsid w:val="00280A7E"/>
    <w:rsid w:val="00282C31"/>
    <w:rsid w:val="002924CF"/>
    <w:rsid w:val="0029257A"/>
    <w:rsid w:val="002953AC"/>
    <w:rsid w:val="00297CD9"/>
    <w:rsid w:val="002B2632"/>
    <w:rsid w:val="002B5068"/>
    <w:rsid w:val="002B5E92"/>
    <w:rsid w:val="002D4699"/>
    <w:rsid w:val="002F08BE"/>
    <w:rsid w:val="002F2C64"/>
    <w:rsid w:val="002F2E31"/>
    <w:rsid w:val="00304610"/>
    <w:rsid w:val="00307406"/>
    <w:rsid w:val="00323B43"/>
    <w:rsid w:val="00324587"/>
    <w:rsid w:val="00330C7B"/>
    <w:rsid w:val="00346643"/>
    <w:rsid w:val="00376889"/>
    <w:rsid w:val="00381329"/>
    <w:rsid w:val="003A6D5E"/>
    <w:rsid w:val="003B24F9"/>
    <w:rsid w:val="003B4E56"/>
    <w:rsid w:val="003C5667"/>
    <w:rsid w:val="003D3721"/>
    <w:rsid w:val="003D37D8"/>
    <w:rsid w:val="003D6951"/>
    <w:rsid w:val="0040719F"/>
    <w:rsid w:val="00412CE2"/>
    <w:rsid w:val="0042020D"/>
    <w:rsid w:val="00422720"/>
    <w:rsid w:val="00423B90"/>
    <w:rsid w:val="00426133"/>
    <w:rsid w:val="0043471A"/>
    <w:rsid w:val="004358AB"/>
    <w:rsid w:val="00442487"/>
    <w:rsid w:val="00445011"/>
    <w:rsid w:val="00446D9D"/>
    <w:rsid w:val="00480907"/>
    <w:rsid w:val="004904FE"/>
    <w:rsid w:val="0049068A"/>
    <w:rsid w:val="004A12B7"/>
    <w:rsid w:val="004A1B4A"/>
    <w:rsid w:val="004A6F07"/>
    <w:rsid w:val="004B0B90"/>
    <w:rsid w:val="004B353D"/>
    <w:rsid w:val="004C170C"/>
    <w:rsid w:val="004D2731"/>
    <w:rsid w:val="004D405E"/>
    <w:rsid w:val="004E17BC"/>
    <w:rsid w:val="005001CA"/>
    <w:rsid w:val="005039B7"/>
    <w:rsid w:val="005133D6"/>
    <w:rsid w:val="00524741"/>
    <w:rsid w:val="005333E0"/>
    <w:rsid w:val="00557FAF"/>
    <w:rsid w:val="00570518"/>
    <w:rsid w:val="005769CE"/>
    <w:rsid w:val="005B3146"/>
    <w:rsid w:val="00614AB4"/>
    <w:rsid w:val="00615416"/>
    <w:rsid w:val="00627A6A"/>
    <w:rsid w:val="00630754"/>
    <w:rsid w:val="00633D85"/>
    <w:rsid w:val="00653B8C"/>
    <w:rsid w:val="00654BE0"/>
    <w:rsid w:val="00672AC7"/>
    <w:rsid w:val="0067353B"/>
    <w:rsid w:val="00676266"/>
    <w:rsid w:val="00682BAD"/>
    <w:rsid w:val="0068716C"/>
    <w:rsid w:val="006C06C2"/>
    <w:rsid w:val="006D07E5"/>
    <w:rsid w:val="006D2497"/>
    <w:rsid w:val="006E414F"/>
    <w:rsid w:val="006E63A3"/>
    <w:rsid w:val="006F56C3"/>
    <w:rsid w:val="00701019"/>
    <w:rsid w:val="007121FC"/>
    <w:rsid w:val="007165A0"/>
    <w:rsid w:val="00720F8E"/>
    <w:rsid w:val="00734EBE"/>
    <w:rsid w:val="00737DC7"/>
    <w:rsid w:val="00776D18"/>
    <w:rsid w:val="00780923"/>
    <w:rsid w:val="007859CB"/>
    <w:rsid w:val="00785D51"/>
    <w:rsid w:val="00790477"/>
    <w:rsid w:val="00793823"/>
    <w:rsid w:val="007A07D4"/>
    <w:rsid w:val="007D0A92"/>
    <w:rsid w:val="007D2631"/>
    <w:rsid w:val="007E488F"/>
    <w:rsid w:val="007F0A56"/>
    <w:rsid w:val="008012EC"/>
    <w:rsid w:val="0080315D"/>
    <w:rsid w:val="008203E6"/>
    <w:rsid w:val="00820FCC"/>
    <w:rsid w:val="0082274F"/>
    <w:rsid w:val="00822DA6"/>
    <w:rsid w:val="00825FE1"/>
    <w:rsid w:val="0083186A"/>
    <w:rsid w:val="00834344"/>
    <w:rsid w:val="008354BE"/>
    <w:rsid w:val="00842282"/>
    <w:rsid w:val="008548C4"/>
    <w:rsid w:val="00862D2C"/>
    <w:rsid w:val="00866BE5"/>
    <w:rsid w:val="008854BC"/>
    <w:rsid w:val="008A0785"/>
    <w:rsid w:val="008B403A"/>
    <w:rsid w:val="008B7726"/>
    <w:rsid w:val="008C72B0"/>
    <w:rsid w:val="008E0E2A"/>
    <w:rsid w:val="008E6A80"/>
    <w:rsid w:val="008E7E3F"/>
    <w:rsid w:val="008F0BDD"/>
    <w:rsid w:val="008F3783"/>
    <w:rsid w:val="00910976"/>
    <w:rsid w:val="00930554"/>
    <w:rsid w:val="00943413"/>
    <w:rsid w:val="00950640"/>
    <w:rsid w:val="00954636"/>
    <w:rsid w:val="00976D24"/>
    <w:rsid w:val="00976FC7"/>
    <w:rsid w:val="009A5322"/>
    <w:rsid w:val="009B13A9"/>
    <w:rsid w:val="009C49B6"/>
    <w:rsid w:val="009C672E"/>
    <w:rsid w:val="009E0F7D"/>
    <w:rsid w:val="009E3260"/>
    <w:rsid w:val="009F4350"/>
    <w:rsid w:val="009F7A74"/>
    <w:rsid w:val="00A07EF5"/>
    <w:rsid w:val="00A117EC"/>
    <w:rsid w:val="00A124A7"/>
    <w:rsid w:val="00A217A0"/>
    <w:rsid w:val="00A27D0B"/>
    <w:rsid w:val="00A36B02"/>
    <w:rsid w:val="00A41714"/>
    <w:rsid w:val="00A62E33"/>
    <w:rsid w:val="00A709CB"/>
    <w:rsid w:val="00A9250E"/>
    <w:rsid w:val="00A934A7"/>
    <w:rsid w:val="00AA0C0C"/>
    <w:rsid w:val="00AC5216"/>
    <w:rsid w:val="00AD5EAE"/>
    <w:rsid w:val="00AD72F7"/>
    <w:rsid w:val="00AE40E7"/>
    <w:rsid w:val="00AE5C23"/>
    <w:rsid w:val="00AE6704"/>
    <w:rsid w:val="00B07AD5"/>
    <w:rsid w:val="00B14C01"/>
    <w:rsid w:val="00B16799"/>
    <w:rsid w:val="00B2377A"/>
    <w:rsid w:val="00B23CB0"/>
    <w:rsid w:val="00B413FA"/>
    <w:rsid w:val="00B45038"/>
    <w:rsid w:val="00B5040F"/>
    <w:rsid w:val="00B53DE2"/>
    <w:rsid w:val="00B556DA"/>
    <w:rsid w:val="00B57392"/>
    <w:rsid w:val="00B667D2"/>
    <w:rsid w:val="00B714E1"/>
    <w:rsid w:val="00BA52EA"/>
    <w:rsid w:val="00BC7D58"/>
    <w:rsid w:val="00BD0DC5"/>
    <w:rsid w:val="00BD22FF"/>
    <w:rsid w:val="00BD3EF3"/>
    <w:rsid w:val="00BE5FC6"/>
    <w:rsid w:val="00BF2EA3"/>
    <w:rsid w:val="00C17BBF"/>
    <w:rsid w:val="00C267F2"/>
    <w:rsid w:val="00C30CF4"/>
    <w:rsid w:val="00C31BB4"/>
    <w:rsid w:val="00C3419D"/>
    <w:rsid w:val="00C4469D"/>
    <w:rsid w:val="00C559A0"/>
    <w:rsid w:val="00C64416"/>
    <w:rsid w:val="00C76617"/>
    <w:rsid w:val="00C851E1"/>
    <w:rsid w:val="00C9454F"/>
    <w:rsid w:val="00CA177C"/>
    <w:rsid w:val="00CA3637"/>
    <w:rsid w:val="00CC0C57"/>
    <w:rsid w:val="00CD5DA8"/>
    <w:rsid w:val="00CD60AC"/>
    <w:rsid w:val="00CE2658"/>
    <w:rsid w:val="00CF1CC3"/>
    <w:rsid w:val="00CF7DC4"/>
    <w:rsid w:val="00D23EE2"/>
    <w:rsid w:val="00D26CE7"/>
    <w:rsid w:val="00D3170F"/>
    <w:rsid w:val="00D31D50"/>
    <w:rsid w:val="00D437B6"/>
    <w:rsid w:val="00D465A3"/>
    <w:rsid w:val="00D5017B"/>
    <w:rsid w:val="00D51FB3"/>
    <w:rsid w:val="00D54BD3"/>
    <w:rsid w:val="00D654DE"/>
    <w:rsid w:val="00D67C2C"/>
    <w:rsid w:val="00D71885"/>
    <w:rsid w:val="00D73735"/>
    <w:rsid w:val="00D75C47"/>
    <w:rsid w:val="00D77B74"/>
    <w:rsid w:val="00D816D1"/>
    <w:rsid w:val="00D87CD7"/>
    <w:rsid w:val="00D90DC4"/>
    <w:rsid w:val="00DA36D2"/>
    <w:rsid w:val="00DB1AC7"/>
    <w:rsid w:val="00DB66DD"/>
    <w:rsid w:val="00DC39BA"/>
    <w:rsid w:val="00DC649F"/>
    <w:rsid w:val="00DD27CC"/>
    <w:rsid w:val="00DD5F9A"/>
    <w:rsid w:val="00DF3205"/>
    <w:rsid w:val="00E02230"/>
    <w:rsid w:val="00E05607"/>
    <w:rsid w:val="00E05805"/>
    <w:rsid w:val="00E166AE"/>
    <w:rsid w:val="00E20518"/>
    <w:rsid w:val="00E205B0"/>
    <w:rsid w:val="00E306AC"/>
    <w:rsid w:val="00E349CC"/>
    <w:rsid w:val="00E3698F"/>
    <w:rsid w:val="00E476D8"/>
    <w:rsid w:val="00E514F5"/>
    <w:rsid w:val="00E645FA"/>
    <w:rsid w:val="00E8026C"/>
    <w:rsid w:val="00E85381"/>
    <w:rsid w:val="00E85BF4"/>
    <w:rsid w:val="00E907BA"/>
    <w:rsid w:val="00E9113B"/>
    <w:rsid w:val="00E9198D"/>
    <w:rsid w:val="00E96D40"/>
    <w:rsid w:val="00E972C0"/>
    <w:rsid w:val="00E977BE"/>
    <w:rsid w:val="00E97BFE"/>
    <w:rsid w:val="00EA2C27"/>
    <w:rsid w:val="00EB72FB"/>
    <w:rsid w:val="00EC0A55"/>
    <w:rsid w:val="00EC0F94"/>
    <w:rsid w:val="00EC38EE"/>
    <w:rsid w:val="00EC751B"/>
    <w:rsid w:val="00ED3168"/>
    <w:rsid w:val="00EF2E3A"/>
    <w:rsid w:val="00EF3EE3"/>
    <w:rsid w:val="00F025A4"/>
    <w:rsid w:val="00F22641"/>
    <w:rsid w:val="00F3740A"/>
    <w:rsid w:val="00F37653"/>
    <w:rsid w:val="00F37D55"/>
    <w:rsid w:val="00F45721"/>
    <w:rsid w:val="00F5695C"/>
    <w:rsid w:val="00F57389"/>
    <w:rsid w:val="00F61E85"/>
    <w:rsid w:val="00F716EE"/>
    <w:rsid w:val="00F876B0"/>
    <w:rsid w:val="00F9180A"/>
    <w:rsid w:val="00F96AB0"/>
    <w:rsid w:val="00FA16E9"/>
    <w:rsid w:val="00FA1C9A"/>
    <w:rsid w:val="00FA1CD3"/>
    <w:rsid w:val="00FA6134"/>
    <w:rsid w:val="00FB1753"/>
    <w:rsid w:val="00FD0829"/>
    <w:rsid w:val="00FD7533"/>
    <w:rsid w:val="00FF2F66"/>
    <w:rsid w:val="00FF6ABE"/>
    <w:rsid w:val="00FF791B"/>
    <w:rsid w:val="035A0157"/>
    <w:rsid w:val="05EA4284"/>
    <w:rsid w:val="067C2595"/>
    <w:rsid w:val="0A375961"/>
    <w:rsid w:val="0C8D0A71"/>
    <w:rsid w:val="12375D82"/>
    <w:rsid w:val="152A3840"/>
    <w:rsid w:val="1B644633"/>
    <w:rsid w:val="1CB41EDA"/>
    <w:rsid w:val="1F725B05"/>
    <w:rsid w:val="24512343"/>
    <w:rsid w:val="25EC33D2"/>
    <w:rsid w:val="288D150B"/>
    <w:rsid w:val="2A0C379B"/>
    <w:rsid w:val="2ABB20D8"/>
    <w:rsid w:val="31032D9B"/>
    <w:rsid w:val="31EB2AB5"/>
    <w:rsid w:val="341F21EC"/>
    <w:rsid w:val="37212BDB"/>
    <w:rsid w:val="3B0C63E1"/>
    <w:rsid w:val="3D6E031C"/>
    <w:rsid w:val="3E626774"/>
    <w:rsid w:val="42002594"/>
    <w:rsid w:val="45994057"/>
    <w:rsid w:val="472244DB"/>
    <w:rsid w:val="476E307B"/>
    <w:rsid w:val="4B906184"/>
    <w:rsid w:val="4F594475"/>
    <w:rsid w:val="4FAD6AF3"/>
    <w:rsid w:val="503E6BF7"/>
    <w:rsid w:val="50AF627C"/>
    <w:rsid w:val="512D221B"/>
    <w:rsid w:val="53FC0044"/>
    <w:rsid w:val="54AA4E94"/>
    <w:rsid w:val="56A142F5"/>
    <w:rsid w:val="59C24070"/>
    <w:rsid w:val="5AD1516C"/>
    <w:rsid w:val="5D1F743E"/>
    <w:rsid w:val="605029D2"/>
    <w:rsid w:val="60CF7012"/>
    <w:rsid w:val="61BE6D01"/>
    <w:rsid w:val="62CA73A9"/>
    <w:rsid w:val="62E606BF"/>
    <w:rsid w:val="637E4A58"/>
    <w:rsid w:val="64E3632E"/>
    <w:rsid w:val="693C38C9"/>
    <w:rsid w:val="69DC5C6B"/>
    <w:rsid w:val="6ACF31F7"/>
    <w:rsid w:val="6ECF63F8"/>
    <w:rsid w:val="6ED66752"/>
    <w:rsid w:val="72C30362"/>
    <w:rsid w:val="73A25E5C"/>
    <w:rsid w:val="73E82DF9"/>
    <w:rsid w:val="740470CE"/>
    <w:rsid w:val="75A949DB"/>
    <w:rsid w:val="77CA19A9"/>
    <w:rsid w:val="7ACE0BF6"/>
    <w:rsid w:val="7C951EE4"/>
    <w:rsid w:val="7D1D4F95"/>
    <w:rsid w:val="7FD56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宋体" w:cs="Times New Roman"/>
      <w:sz w:val="22"/>
      <w:szCs w:val="22"/>
      <w:lang w:val="en-US" w:eastAsia="zh-CN" w:bidi="ar-SA"/>
    </w:rPr>
  </w:style>
  <w:style w:type="character" w:default="1" w:styleId="9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6"/>
    <w:semiHidden/>
    <w:unhideWhenUsed/>
    <w:qFormat/>
    <w:uiPriority w:val="99"/>
    <w:pPr>
      <w:spacing w:after="0"/>
    </w:pPr>
    <w:rPr>
      <w:sz w:val="18"/>
      <w:szCs w:val="18"/>
    </w:rPr>
  </w:style>
  <w:style w:type="paragraph" w:styleId="3">
    <w:name w:val="footer"/>
    <w:basedOn w:val="1"/>
    <w:link w:val="12"/>
    <w:unhideWhenUsed/>
    <w:qFormat/>
    <w:uiPriority w:val="0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11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5">
    <w:name w:val="Subtitle"/>
    <w:basedOn w:val="1"/>
    <w:next w:val="1"/>
    <w:link w:val="15"/>
    <w:qFormat/>
    <w:uiPriority w:val="11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paragraph" w:styleId="6">
    <w:name w:val="Normal (Web)"/>
    <w:basedOn w:val="1"/>
    <w:semiHidden/>
    <w:unhideWhenUsed/>
    <w:qFormat/>
    <w:uiPriority w:val="99"/>
    <w:pPr>
      <w:adjustRightInd/>
      <w:snapToGrid/>
      <w:spacing w:before="100" w:beforeAutospacing="1" w:after="100" w:afterAutospacing="1"/>
    </w:pPr>
    <w:rPr>
      <w:rFonts w:ascii="宋体" w:hAnsi="宋体" w:cs="宋体"/>
      <w:sz w:val="24"/>
      <w:szCs w:val="24"/>
    </w:rPr>
  </w:style>
  <w:style w:type="table" w:styleId="8">
    <w:name w:val="Table Grid"/>
    <w:basedOn w:val="7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page number"/>
    <w:basedOn w:val="9"/>
    <w:uiPriority w:val="0"/>
  </w:style>
  <w:style w:type="character" w:customStyle="1" w:styleId="11">
    <w:name w:val="页眉 字符"/>
    <w:link w:val="4"/>
    <w:qFormat/>
    <w:uiPriority w:val="99"/>
    <w:rPr>
      <w:rFonts w:ascii="Tahoma" w:hAnsi="Tahoma"/>
      <w:sz w:val="18"/>
      <w:szCs w:val="18"/>
    </w:rPr>
  </w:style>
  <w:style w:type="character" w:customStyle="1" w:styleId="12">
    <w:name w:val="页脚 字符"/>
    <w:link w:val="3"/>
    <w:uiPriority w:val="99"/>
    <w:rPr>
      <w:rFonts w:ascii="Tahoma" w:hAnsi="Tahoma"/>
      <w:sz w:val="18"/>
      <w:szCs w:val="18"/>
    </w:rPr>
  </w:style>
  <w:style w:type="paragraph" w:styleId="13">
    <w:name w:val="List Paragraph"/>
    <w:basedOn w:val="1"/>
    <w:qFormat/>
    <w:uiPriority w:val="34"/>
    <w:pPr>
      <w:ind w:firstLine="420" w:firstLineChars="200"/>
    </w:pPr>
  </w:style>
  <w:style w:type="paragraph" w:customStyle="1" w:styleId="14">
    <w:name w:val="列出段落1"/>
    <w:basedOn w:val="1"/>
    <w:qFormat/>
    <w:uiPriority w:val="0"/>
    <w:pPr>
      <w:ind w:firstLine="420" w:firstLineChars="200"/>
    </w:pPr>
  </w:style>
  <w:style w:type="character" w:customStyle="1" w:styleId="15">
    <w:name w:val="副标题 字符"/>
    <w:link w:val="5"/>
    <w:qFormat/>
    <w:uiPriority w:val="11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16">
    <w:name w:val="批注框文本 字符"/>
    <w:basedOn w:val="9"/>
    <w:link w:val="2"/>
    <w:semiHidden/>
    <w:qFormat/>
    <w:uiPriority w:val="99"/>
    <w:rPr>
      <w:rFonts w:ascii="Tahoma" w:hAnsi="Tahoma"/>
      <w:sz w:val="18"/>
      <w:szCs w:val="18"/>
    </w:rPr>
  </w:style>
  <w:style w:type="character" w:customStyle="1" w:styleId="17">
    <w:name w:val="bjh-p"/>
    <w:basedOn w:val="9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media/image1.png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6</Pages>
  <Words>4042</Words>
  <Characters>4117</Characters>
  <Lines>0</Lines>
  <Paragraphs>0</Paragraphs>
  <TotalTime>0</TotalTime>
  <ScaleCrop>false</ScaleCrop>
  <LinksUpToDate>false</LinksUpToDate>
  <CharactersWithSpaces>4202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2025-07-30T14:15:45Z</dcterms:created>
  <dc:creator>Administrator</dc:creator>
  <cp:lastModifiedBy>上帝掷骰子吗</cp:lastModifiedBy>
  <dcterms:modified xsi:type="dcterms:W3CDTF">2025-07-30T14:15:46Z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62A0539B30DD4141A14B6F39D4684479_12</vt:lpwstr>
  </property>
</Properties>
</file>