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3AE7C">
      <w:pPr>
        <w:tabs>
          <w:tab w:val="left" w:pos="4320"/>
        </w:tabs>
        <w:wordWrap w:val="0"/>
        <w:snapToGrid w:val="0"/>
        <w:spacing w:line="360" w:lineRule="auto"/>
        <w:jc w:val="center"/>
        <w:rPr>
          <w:rFonts w:hint="eastAsia" w:ascii="宋体" w:hAnsi="宋体" w:eastAsia="宋体" w:cs="Times New Roman"/>
          <w:b/>
          <w:bCs/>
          <w:kern w:val="44"/>
          <w:sz w:val="28"/>
          <w:szCs w:val="28"/>
          <w:lang w:val="en-US" w:eastAsia="zh-CN"/>
        </w:rPr>
      </w:pPr>
      <w:bookmarkStart w:id="1" w:name="_GoBack"/>
      <w:bookmarkEnd w:id="1"/>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11226800</wp:posOffset>
            </wp:positionV>
            <wp:extent cx="457200" cy="2540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57200" cy="254000"/>
                    </a:xfrm>
                    <a:prstGeom prst="rect">
                      <a:avLst/>
                    </a:prstGeom>
                  </pic:spPr>
                </pic:pic>
              </a:graphicData>
            </a:graphic>
          </wp:anchor>
        </w:drawing>
      </w:r>
      <w:bookmarkStart w:id="0" w:name="_Hlk22374094"/>
      <w:bookmarkEnd w:id="0"/>
    </w:p>
    <w:p w14:paraId="23BA644C">
      <w:pPr>
        <w:tabs>
          <w:tab w:val="left" w:pos="4320"/>
        </w:tabs>
        <w:wordWrap w:val="0"/>
        <w:snapToGrid w:val="0"/>
        <w:spacing w:line="360" w:lineRule="auto"/>
        <w:jc w:val="center"/>
        <w:rPr>
          <w:rFonts w:hint="eastAsia"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《整本书阅读&lt;朝花夕拾&gt;精读、略读、浏览》导学案</w:t>
      </w:r>
    </w:p>
    <w:p w14:paraId="39D40F48">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目标】</w:t>
      </w:r>
    </w:p>
    <w:p w14:paraId="1026F3DE">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1.学习精读、略读、浏览三种阅读方法，并在《朝花夕拾》的阅读中运用。</w:t>
      </w:r>
    </w:p>
    <w:p w14:paraId="6A34C51F">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2.梳理《朝花夕拾》主要内容及人物形象，明确各篇的主旨情感。 </w:t>
      </w:r>
    </w:p>
    <w:p w14:paraId="1C27C52A">
      <w:pPr>
        <w:tabs>
          <w:tab w:val="left" w:pos="4320"/>
        </w:tabs>
        <w:wordWrap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3.了解《朝花夕拾》成书过程，明白作者心路历程。</w:t>
      </w:r>
    </w:p>
    <w:p w14:paraId="385B44F4">
      <w:pPr>
        <w:tabs>
          <w:tab w:val="left" w:pos="4320"/>
        </w:tabs>
        <w:wordWrap w:val="0"/>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296DE02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1.学习精读、略读、浏览三种阅读方法，并在《朝花夕拾》的阅读中运用。</w:t>
      </w:r>
    </w:p>
    <w:p w14:paraId="47F90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2.梳理《朝花夕拾》主要内容及人物形象，明确各篇的主旨情感。</w:t>
      </w:r>
    </w:p>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5C8BB7C9">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任务一：学·精读略读浏览方法</w:t>
      </w:r>
    </w:p>
    <w:p w14:paraId="79211BDB">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任务二：探·鲁迅“朝花”何以“夕拾”</w:t>
      </w:r>
    </w:p>
    <w:p w14:paraId="52D1DC8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任务三：寻·鲁迅生活的“那些年”</w:t>
      </w:r>
    </w:p>
    <w:p w14:paraId="7A74DD55">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任务四：识·鲁迅笔下的“那些人”</w:t>
      </w:r>
    </w:p>
    <w:p w14:paraId="219A14A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任务五：察·鲁迅心中的“那些情”</w:t>
      </w:r>
    </w:p>
    <w:p w14:paraId="0168715D">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过程】</w:t>
      </w:r>
    </w:p>
    <w:p w14:paraId="01EF837E">
      <w:pPr>
        <w:tabs>
          <w:tab w:val="left" w:pos="4320"/>
        </w:tabs>
        <w:wordWrap w:val="0"/>
        <w:snapToGrid w:val="0"/>
        <w:spacing w:line="360" w:lineRule="auto"/>
        <w:ind w:firstLine="420" w:firstLineChars="200"/>
        <w:rPr>
          <w:rFonts w:hint="eastAsia" w:ascii="黑体" w:hAnsi="黑体" w:eastAsia="黑体" w:cs="黑体"/>
          <w:b/>
          <w:bCs/>
          <w:szCs w:val="21"/>
          <w:highlight w:val="none"/>
          <w:lang w:eastAsia="zh-CN"/>
        </w:rPr>
      </w:pPr>
      <w:r>
        <w:rPr>
          <w:rFonts w:hint="eastAsia" w:ascii="宋体" w:hAnsi="宋体" w:eastAsia="宋体" w:cs="宋体"/>
          <w:b w:val="0"/>
          <w:bCs w:val="0"/>
          <w:szCs w:val="21"/>
          <w:highlight w:val="none"/>
          <w:lang w:eastAsia="zh-CN"/>
        </w:rPr>
        <w:t>在本单元《从百草园到三味书屋》一课的学习中，我们初步了解了《朝花夕拾》和鲁迅，知道了《朝花夕拾》是鲁迅回忆少年、青年时期生活的散文集。那么，这本书到底记载了鲁迅先生怎样的人生历程，回忆了哪些人与事呢？今天让我们一起跟随鲁迅先生走进那些难以忘怀的记忆吧。</w:t>
      </w:r>
    </w:p>
    <w:p w14:paraId="57507C5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[课前学习任务]</w:t>
      </w:r>
    </w:p>
    <w:p w14:paraId="24F857C4">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szCs w:val="21"/>
          <w:lang w:val="en-US" w:eastAsia="zh-CN"/>
        </w:rPr>
        <w:t>任务一：学·精读略读浏览方法</w:t>
      </w:r>
    </w:p>
    <w:p w14:paraId="3741CE73">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读一本书，首先要掌握正确的读书方法。根据兴趣或读书目的不同，可以采取精读、略读或浏览的方法。那么，什么是精读、略读、浏览呢？请阅读教材72页“阅读指导”，并完成相应任务。</w:t>
      </w:r>
    </w:p>
    <w:p w14:paraId="1599CE7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1.什么是精读、略读、浏览？</w:t>
      </w:r>
    </w:p>
    <w:p w14:paraId="0641C5C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DAF714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255E337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A12C0D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0BD190D4">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2.如何做好精读？</w:t>
      </w:r>
    </w:p>
    <w:p w14:paraId="4F2C223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DA49AD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2AEC344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AC48FA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2AD400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3.略读和浏览，与精读相比有何不同？</w:t>
      </w:r>
    </w:p>
    <w:p w14:paraId="5D2941B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B535E1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11C68CA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F53ED7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A2D51C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4.阅读《朝花夕拾》这本书，可以怎样运用精读、略读、浏览这三种读书方法？</w:t>
      </w:r>
    </w:p>
    <w:p w14:paraId="0F3120B4">
      <w:pPr>
        <w:tabs>
          <w:tab w:val="left" w:pos="4320"/>
        </w:tabs>
        <w:snapToGrid w:val="0"/>
        <w:spacing w:line="360" w:lineRule="auto"/>
        <w:ind w:firstLine="420" w:firstLineChars="200"/>
        <w:jc w:val="both"/>
        <w:rPr>
          <w:rFonts w:hint="default"/>
          <w:lang w:val="en-US" w:eastAsia="zh-CN"/>
        </w:rPr>
      </w:pPr>
    </w:p>
    <w:p w14:paraId="6FEEBFB7">
      <w:pPr>
        <w:tabs>
          <w:tab w:val="left" w:pos="4320"/>
        </w:tabs>
        <w:snapToGrid w:val="0"/>
        <w:spacing w:line="360" w:lineRule="auto"/>
        <w:ind w:firstLine="420" w:firstLineChars="200"/>
        <w:jc w:val="both"/>
        <w:rPr>
          <w:rFonts w:hint="default"/>
          <w:lang w:val="en-US" w:eastAsia="zh-CN"/>
        </w:rPr>
      </w:pPr>
    </w:p>
    <w:p w14:paraId="11D9404E">
      <w:pPr>
        <w:tabs>
          <w:tab w:val="left" w:pos="4320"/>
        </w:tabs>
        <w:snapToGrid w:val="0"/>
        <w:spacing w:line="360" w:lineRule="auto"/>
        <w:ind w:firstLine="420" w:firstLineChars="200"/>
        <w:jc w:val="both"/>
        <w:rPr>
          <w:rFonts w:hint="default"/>
          <w:lang w:val="en-US" w:eastAsia="zh-CN"/>
        </w:rPr>
      </w:pPr>
    </w:p>
    <w:p w14:paraId="1CF3127A">
      <w:pPr>
        <w:tabs>
          <w:tab w:val="left" w:pos="4320"/>
        </w:tabs>
        <w:snapToGrid w:val="0"/>
        <w:spacing w:line="360" w:lineRule="auto"/>
        <w:ind w:firstLine="420" w:firstLineChars="200"/>
        <w:jc w:val="both"/>
        <w:rPr>
          <w:rFonts w:hint="default"/>
          <w:lang w:val="en-US" w:eastAsia="zh-CN"/>
        </w:rPr>
      </w:pPr>
    </w:p>
    <w:p w14:paraId="1BC67E42">
      <w:pPr>
        <w:tabs>
          <w:tab w:val="left" w:pos="4320"/>
        </w:tabs>
        <w:snapToGrid w:val="0"/>
        <w:spacing w:line="360" w:lineRule="auto"/>
        <w:ind w:firstLine="420" w:firstLineChars="200"/>
        <w:jc w:val="both"/>
        <w:rPr>
          <w:rFonts w:hint="default"/>
          <w:lang w:val="en-US" w:eastAsia="zh-CN"/>
        </w:rPr>
      </w:pPr>
    </w:p>
    <w:p w14:paraId="583D1AF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[课中学习任务]</w:t>
      </w:r>
    </w:p>
    <w:p w14:paraId="4ECDD24A">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任务二：探·鲁迅“朝花”何以“夕拾”</w:t>
      </w:r>
    </w:p>
    <w:p w14:paraId="3F043D50">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1926年，鲁迅先后撰写了十篇回忆性散文，并以《旧事重提》为总题目陆续发表于《莽原》半月刊上。1928年结集出版，更名为《朝花夕拾》。“朝花”何以“夕拾”呢？我们进行探究。</w:t>
      </w:r>
    </w:p>
    <w:p w14:paraId="6B560C5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1.《旧事重提》更名为《朝花夕拾》其实隐藏着在儿童视角下的写作意图。请同学们结合下列背景，读《小引》补全作者写作《朝花夕拾》的经过。</w:t>
      </w:r>
    </w:p>
    <w:p w14:paraId="418B13C1">
      <w:pPr>
        <w:tabs>
          <w:tab w:val="left" w:pos="4320"/>
        </w:tabs>
        <w:snapToGrid w:val="0"/>
        <w:spacing w:line="360" w:lineRule="auto"/>
        <w:ind w:firstLine="420" w:firstLineChars="200"/>
        <w:rPr>
          <w:rFonts w:hint="eastAsia" w:ascii="楷体" w:hAnsi="楷体" w:eastAsia="楷体" w:cs="楷体"/>
          <w:color w:val="000000"/>
          <w:szCs w:val="21"/>
          <w:u w:val="single"/>
          <w:lang w:val="en-US" w:eastAsia="zh-CN"/>
        </w:rPr>
      </w:pPr>
      <w:r>
        <w:rPr>
          <w:rFonts w:hint="eastAsia" w:ascii="楷体" w:hAnsi="楷体" w:eastAsia="楷体" w:cs="楷体"/>
          <w:color w:val="000000"/>
          <w:szCs w:val="21"/>
          <w:lang w:val="en-US" w:eastAsia="zh-CN"/>
        </w:rPr>
        <w:t>1925年,鲁迅在北京担任大学讲师期间,因支持学生运动而受到当时所谓“正人君子”的流言攻击和排挤。1926年,北洋军阀政府枪杀进步学生,制造“三·一八”惨案。鲁迅写下《记念刘和珍君》等一系列文章,热情支持学生的正义斗争,控诉北洋军阀政府的残暴,结果遭到当局的通缉而不得不远走厦门避难。之后,鲁迅奔走广州,他在《小引》中是这样描述自己写作《朝花夕拾》的经过的:</w:t>
      </w:r>
      <w:r>
        <w:rPr>
          <w:rFonts w:hint="eastAsia" w:ascii="楷体" w:hAnsi="楷体" w:eastAsia="楷体" w:cs="楷体"/>
          <w:color w:val="000000"/>
          <w:szCs w:val="21"/>
          <w:u w:val="single"/>
          <w:lang w:val="en-US" w:eastAsia="zh-CN"/>
        </w:rPr>
        <w:t xml:space="preserve">                           </w:t>
      </w:r>
    </w:p>
    <w:p w14:paraId="4A72646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0" w:firstLineChars="0"/>
        <w:textAlignment w:val="auto"/>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7F9035F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0" w:firstLineChars="0"/>
        <w:textAlignment w:val="auto"/>
        <w:rPr>
          <w:rFonts w:hint="default"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6DFFDD48">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2.结合你对写作背景的认识，说一说鲁迅为何要“夕拾”“朝花”，重提这些旧事。</w:t>
      </w:r>
    </w:p>
    <w:p w14:paraId="5EF996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p>
    <w:p w14:paraId="49ACC5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p>
    <w:p w14:paraId="554B1C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p>
    <w:p w14:paraId="7B36C0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3.《朝花夕拾》一共收录十篇散文，有的侧重写人，有的侧重记事，有的侧重议论或记事兼议论，你能把这十篇文章分一下类吗？</w:t>
      </w:r>
    </w:p>
    <w:p w14:paraId="7C53C80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6E9EDEE8">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68AD8CD8">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76ADA17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63613E0B">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任务三：寻·鲁迅生活的“那些年”</w:t>
      </w:r>
    </w:p>
    <w:p w14:paraId="3FC1225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朝花夕拾》是鲁迅从自己童年、少年、青年时代的“记忆中抄出来的片段，展现了他的一段段人生历程。浏览全书，精读部分篇章、段落，小组合作，从时空、事件等角度杭理书中鲁迅的成长经历，以自己喜欢的形式，有创意地呈现“鲁迅成长史”。</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5D6C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trPr>
        <w:tc>
          <w:tcPr>
            <w:tcW w:w="9962" w:type="dxa"/>
            <w:vAlign w:val="center"/>
          </w:tcPr>
          <w:p w14:paraId="5E3D8C94">
            <w:pPr>
              <w:tabs>
                <w:tab w:val="left" w:pos="4320"/>
              </w:tabs>
              <w:snapToGrid w:val="0"/>
              <w:spacing w:line="36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推荐阅读篇目</w:t>
            </w:r>
          </w:p>
          <w:p w14:paraId="5ECBB331">
            <w:pPr>
              <w:tabs>
                <w:tab w:val="left" w:pos="4320"/>
              </w:tabs>
              <w:snapToGrid w:val="0"/>
              <w:spacing w:line="36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《从百草园到三味书屋》《阿长与&lt;山海经&gt;》《无常》《五猖会》</w:t>
            </w:r>
          </w:p>
          <w:p w14:paraId="5C15F598">
            <w:pPr>
              <w:tabs>
                <w:tab w:val="left" w:pos="4320"/>
              </w:tabs>
              <w:snapToGrid w:val="0"/>
              <w:spacing w:line="36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《狗·猫·鼠》《父亲的病》《琐记》《藤野先生》《范爱农》</w:t>
            </w:r>
          </w:p>
        </w:tc>
      </w:tr>
    </w:tbl>
    <w:p w14:paraId="74BE3BB7">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tbl>
      <w:tblPr>
        <w:tblStyle w:val="8"/>
        <w:tblW w:w="10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6989"/>
        <w:gridCol w:w="2016"/>
      </w:tblGrid>
      <w:tr w14:paraId="5165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0120" w:type="dxa"/>
            <w:gridSpan w:val="3"/>
            <w:vAlign w:val="center"/>
          </w:tcPr>
          <w:p w14:paraId="587B805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鲁迅成长史</w:t>
            </w:r>
          </w:p>
        </w:tc>
      </w:tr>
      <w:tr w14:paraId="1834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115" w:type="dxa"/>
            <w:vAlign w:val="center"/>
          </w:tcPr>
          <w:p w14:paraId="1CC5E5D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时期</w:t>
            </w:r>
          </w:p>
        </w:tc>
        <w:tc>
          <w:tcPr>
            <w:tcW w:w="6989" w:type="dxa"/>
            <w:vAlign w:val="center"/>
          </w:tcPr>
          <w:p w14:paraId="23C8A60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经历</w:t>
            </w:r>
          </w:p>
        </w:tc>
        <w:tc>
          <w:tcPr>
            <w:tcW w:w="2016" w:type="dxa"/>
            <w:vAlign w:val="center"/>
          </w:tcPr>
          <w:p w14:paraId="51050DA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总结</w:t>
            </w:r>
          </w:p>
        </w:tc>
      </w:tr>
      <w:tr w14:paraId="00BB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6" w:hRule="atLeast"/>
        </w:trPr>
        <w:tc>
          <w:tcPr>
            <w:tcW w:w="1115" w:type="dxa"/>
            <w:vAlign w:val="center"/>
          </w:tcPr>
          <w:p w14:paraId="0934C27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童年</w:t>
            </w:r>
          </w:p>
        </w:tc>
        <w:tc>
          <w:tcPr>
            <w:tcW w:w="6989" w:type="dxa"/>
          </w:tcPr>
          <w:p w14:paraId="29571D42">
            <w:pPr>
              <w:tabs>
                <w:tab w:val="left" w:pos="4320"/>
              </w:tabs>
              <w:snapToGrid w:val="0"/>
              <w:spacing w:line="360" w:lineRule="auto"/>
              <w:rPr>
                <w:rFonts w:hint="eastAsia" w:ascii="宋体" w:hAnsi="宋体" w:eastAsia="宋体" w:cs="宋体"/>
                <w:color w:val="000000"/>
                <w:szCs w:val="21"/>
                <w:vertAlign w:val="baseline"/>
                <w:lang w:val="en-US" w:eastAsia="zh-CN"/>
              </w:rPr>
            </w:pPr>
          </w:p>
        </w:tc>
        <w:tc>
          <w:tcPr>
            <w:tcW w:w="2016" w:type="dxa"/>
            <w:vAlign w:val="center"/>
          </w:tcPr>
          <w:p w14:paraId="738587D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1F1A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6" w:hRule="atLeast"/>
        </w:trPr>
        <w:tc>
          <w:tcPr>
            <w:tcW w:w="1115" w:type="dxa"/>
            <w:vAlign w:val="center"/>
          </w:tcPr>
          <w:p w14:paraId="4A3E211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少年</w:t>
            </w:r>
          </w:p>
        </w:tc>
        <w:tc>
          <w:tcPr>
            <w:tcW w:w="6989" w:type="dxa"/>
          </w:tcPr>
          <w:p w14:paraId="0C785B46">
            <w:pPr>
              <w:tabs>
                <w:tab w:val="left" w:pos="4320"/>
              </w:tabs>
              <w:snapToGrid w:val="0"/>
              <w:spacing w:line="360" w:lineRule="auto"/>
              <w:rPr>
                <w:rFonts w:hint="eastAsia" w:ascii="宋体" w:hAnsi="宋体" w:eastAsia="宋体" w:cs="宋体"/>
                <w:color w:val="000000"/>
                <w:szCs w:val="21"/>
                <w:vertAlign w:val="baseline"/>
                <w:lang w:val="en-US" w:eastAsia="zh-CN"/>
              </w:rPr>
            </w:pPr>
          </w:p>
        </w:tc>
        <w:tc>
          <w:tcPr>
            <w:tcW w:w="2016" w:type="dxa"/>
            <w:vAlign w:val="center"/>
          </w:tcPr>
          <w:p w14:paraId="165400A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2437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6" w:hRule="atLeast"/>
        </w:trPr>
        <w:tc>
          <w:tcPr>
            <w:tcW w:w="1115" w:type="dxa"/>
            <w:vAlign w:val="center"/>
          </w:tcPr>
          <w:p w14:paraId="5781102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青年</w:t>
            </w:r>
          </w:p>
        </w:tc>
        <w:tc>
          <w:tcPr>
            <w:tcW w:w="6989" w:type="dxa"/>
          </w:tcPr>
          <w:p w14:paraId="4C3800F8">
            <w:pPr>
              <w:tabs>
                <w:tab w:val="left" w:pos="4320"/>
              </w:tabs>
              <w:snapToGrid w:val="0"/>
              <w:spacing w:line="360" w:lineRule="auto"/>
              <w:rPr>
                <w:rFonts w:hint="eastAsia" w:ascii="宋体" w:hAnsi="宋体" w:eastAsia="宋体" w:cs="宋体"/>
                <w:color w:val="000000"/>
                <w:szCs w:val="21"/>
                <w:vertAlign w:val="baseline"/>
                <w:lang w:val="en-US" w:eastAsia="zh-CN"/>
              </w:rPr>
            </w:pPr>
          </w:p>
        </w:tc>
        <w:tc>
          <w:tcPr>
            <w:tcW w:w="2016" w:type="dxa"/>
            <w:vAlign w:val="center"/>
          </w:tcPr>
          <w:p w14:paraId="13E487D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bl>
    <w:p w14:paraId="7AE5170D">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p w14:paraId="69686123">
      <w:pPr>
        <w:tabs>
          <w:tab w:val="left" w:pos="4320"/>
        </w:tabs>
        <w:wordWrap w:val="0"/>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任务四：识·鲁迅笔下的“那些人”</w:t>
      </w:r>
    </w:p>
    <w:p w14:paraId="4CC02AE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朝花夕拾》中，鲁迅记录了自己生命中出现的一些人物，有些在生活上给予他帮助，有些带给他情感的慰藉，有些对他精神的成长产生过影响，还有一些仅是他生命中的匆匆过客，却也给读者留下了深刻印象。任选书中的一个人物，精读与之相关的内容，分析其性格特点，为他制作“人物名片”。</w:t>
      </w:r>
    </w:p>
    <w:p w14:paraId="76B351C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tbl>
      <w:tblPr>
        <w:tblStyle w:val="8"/>
        <w:tblW w:w="10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0"/>
      </w:tblGrid>
      <w:tr w14:paraId="34EB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8" w:hRule="atLeast"/>
        </w:trPr>
        <w:tc>
          <w:tcPr>
            <w:tcW w:w="10020" w:type="dxa"/>
            <w:vAlign w:val="center"/>
          </w:tcPr>
          <w:p w14:paraId="228D0934">
            <w:pPr>
              <w:tabs>
                <w:tab w:val="left" w:pos="4320"/>
              </w:tabs>
              <w:snapToGrid w:val="0"/>
              <w:spacing w:line="360" w:lineRule="auto"/>
              <w:jc w:val="center"/>
              <w:rPr>
                <w:rFonts w:hint="eastAsia" w:ascii="宋体" w:hAnsi="宋体" w:eastAsia="宋体" w:cs="宋体"/>
                <w:color w:val="000000"/>
                <w:szCs w:val="21"/>
                <w:lang w:val="en-US" w:eastAsia="zh-CN"/>
              </w:rPr>
            </w:pPr>
          </w:p>
        </w:tc>
      </w:tr>
    </w:tbl>
    <w:p w14:paraId="320FAD36">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72E97668">
      <w:pPr>
        <w:tabs>
          <w:tab w:val="left" w:pos="4320"/>
        </w:tabs>
        <w:wordWrap w:val="0"/>
        <w:snapToGrid w:val="0"/>
        <w:spacing w:line="360" w:lineRule="auto"/>
        <w:ind w:firstLine="420" w:firstLineChars="200"/>
        <w:rPr>
          <w:rFonts w:hint="eastAsia" w:ascii="宋体" w:hAnsi="宋体" w:eastAsia="宋体" w:cs="Times New Roman"/>
          <w:color w:val="0000FF"/>
          <w:szCs w:val="21"/>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任务五：察·鲁迅心中的“那些情”</w:t>
      </w:r>
    </w:p>
    <w:p w14:paraId="79E1957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朝花夕拾》写人记事，在平淡质朴的笔墨中蕴有深的情感，文章也就表现出丰富多样的感情色彩。阅读《朝花夕拾》，梳理鲁迅对各种人与事的情感态度，探究他情感背后的思想立场。基于自己的理解，给写作《朝花夕拾》时的鲁迅写一封信，和他交流你对他的理解，以及从书中获得的人生启示。</w:t>
      </w:r>
    </w:p>
    <w:tbl>
      <w:tblPr>
        <w:tblStyle w:val="8"/>
        <w:tblW w:w="0" w:type="auto"/>
        <w:jc w:val="center"/>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Layout w:type="autofit"/>
        <w:tblCellMar>
          <w:top w:w="0" w:type="dxa"/>
          <w:left w:w="108" w:type="dxa"/>
          <w:bottom w:w="0" w:type="dxa"/>
          <w:right w:w="108" w:type="dxa"/>
        </w:tblCellMar>
      </w:tblPr>
      <w:tblGrid>
        <w:gridCol w:w="474"/>
        <w:gridCol w:w="474"/>
        <w:gridCol w:w="474"/>
        <w:gridCol w:w="474"/>
        <w:gridCol w:w="474"/>
        <w:gridCol w:w="474"/>
        <w:gridCol w:w="474"/>
        <w:gridCol w:w="474"/>
        <w:gridCol w:w="474"/>
        <w:gridCol w:w="474"/>
        <w:gridCol w:w="474"/>
        <w:gridCol w:w="474"/>
        <w:gridCol w:w="474"/>
        <w:gridCol w:w="474"/>
        <w:gridCol w:w="474"/>
        <w:gridCol w:w="474"/>
        <w:gridCol w:w="474"/>
        <w:gridCol w:w="474"/>
        <w:gridCol w:w="475"/>
        <w:gridCol w:w="475"/>
      </w:tblGrid>
      <w:tr w14:paraId="36FAF340">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20F2B03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F43D16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B1CFC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6F291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92A294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B8057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8AC2FD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CFFF0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42CC48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2F04C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165A5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0CF2DB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B72FA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74A4D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4BA36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0EB506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C1F4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09573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644BB0A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58EA3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979A35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76E061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7AA2DE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2D70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27621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C7BE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1997BB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0702E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0061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C3F6B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7E21AF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423A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AF37F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E1130A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41269F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290BB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1331E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27DB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29B49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3209A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5827C7D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6266779">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7533E52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F6E601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32E0E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E394E0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A76D4B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2623A6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C48FA3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25DF2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89EDFD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5B548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89E8C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A2E63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E222B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5DC730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65DCA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B86D5A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441842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48339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79F71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6CDB68F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E87232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0BF93F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E3C396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1296F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302D3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7ADFC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3192B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BAFFB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F6F1B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BF28B9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E139D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5294B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F5577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2F04A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F6C83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D0BB1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0E1E81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A7E67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5E2E5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91D6D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003C0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35284A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0512F3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3CE56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63ED2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C0AF4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60A0AA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8A107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349E6B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425105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6707A2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6F398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537DE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E7FFE2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CD4F9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BA92A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E40BF0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156921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AF04E8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E528F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01363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5D1E353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3F4F54D">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395182B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7EA8E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6D671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DD751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36CB6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2F0863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B163E6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7E5400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32EE9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D689A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0594C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A0DAD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BD03C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A3A52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2507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E32E0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2CAB88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856BC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542944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622343A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17D4A5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1C7B89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4F3DD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CE6A17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75E735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9BE27D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F06D8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C0AC1D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D8499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A87B8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CA150E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7BA6FB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B64343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839FAA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58767B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1E65A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60B95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9C999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9B0C9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C0AB39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015FD4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5F49E0F">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139CFF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8AF11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A1075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3EE7D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3CE38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09411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5C93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0F62C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5A954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249C16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E170E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948C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71EF9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B3CE5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BEEB2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353B62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BF7E7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B81B6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6AF59A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3D5DFF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DA9A2D5">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26DCD23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527F07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B9A914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D21EC8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47F6A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1214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5F75F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83129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DBDFB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78576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48EEF6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0E1C5A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36ED2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36FB9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2B2AA4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3DD638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781C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381789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99880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DD9EA6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1CB7A3F">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05B67A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47DC0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99781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140E9E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3308C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4E574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B7563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9E46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B1CDE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6629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985A2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77EF9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059A9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195742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C84F7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BCC6C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00EC2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C83854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DDB6AF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5B6C61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7BFF4B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4745367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B2765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4092A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32F50D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C047D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8C8D3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2D4F5B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DCE96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04DA8C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F9CA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A2A504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CB9B79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65B8A4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43B2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09242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0E612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375559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75D88D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24F7E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E434A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C9E0FA1">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1C9A5FE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54CCD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64719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8CB3CB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0F6364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612AB4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F65A4A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2147CC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21140B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9A446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DC00B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3F8D2A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573F1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915035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1B4570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C8AC8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E1289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0D1241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92F12B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320220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B517BD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0E3892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6F3A26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729B2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B5255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D3F7B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33C107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D09FB2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150D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CB93B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4A452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00B80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80A63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3CBBFB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68BA8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F2EC21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C8D7C3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CB3E8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77CE1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F4C5A9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B9E55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C3E7E7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63A6A17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52800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45679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CC0442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38510F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6D3F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D49538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EDE16E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DDAED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B849F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81FDD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D3A12F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6999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075D62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AE8A3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2BB0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627F8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1FC9C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3A8E8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0DC8D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9C02242">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3184A9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9169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2DB5D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487C0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0BBE9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75A3FC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45E21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A886B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39BA49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0E711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D9D74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B43A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53D6F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C72D4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F40A9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A6D996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9700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C88FD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D0A46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3358951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F9B938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4EC043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C6ECE3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46E014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0ED5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69418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C7127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8BE6A6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BAFEA0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BF7B31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72A36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A610F5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FAC6C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C8FE32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E171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56659F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E83DD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24FFB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93938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49EE35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AA3BAA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97726CF">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14F440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A577C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603AA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612407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AC15C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62742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A6BB3D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10F1C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D3EF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23DE8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2CD95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86080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A730B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3BBA16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29FB7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653963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2CB639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B385C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DE039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0F85C64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545449D">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0C8B7F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BFFDD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E43C5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09D6B5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7062C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957D0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1B145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51188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4B04B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A52B29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EC4D54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13B973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88C32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767B8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99E8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BDECC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1AE3AC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7EAF4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2D58E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30BF35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58ADFE8">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7814364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2E72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B675CF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B5C73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B6F83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8DE33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4D54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415A1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CEF13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4241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4361D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B60AFB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B497A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769A0F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5C66D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AE2D5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CFFC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A5DCC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0884DA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5CA584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2314424">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4CA4F8D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986AD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011DD4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25AD4C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7A497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00591A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AFCFF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EFCB23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59DA6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DF41C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A8719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2A861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9C097A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A668B7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AC79C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C111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1D60A8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D911B3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0DD072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9DCF78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E0DDE4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1B905F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B0B6C0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FC5F59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BE59B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DF4A6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9C86EC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81869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36B72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803A88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0F0BBF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9F8B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0CB4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5519F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60FD14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247528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04855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5F1A52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22DB9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611292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D38847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1AF24F0">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254A83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1646F5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4CAFF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DEDC81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58A1C5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C772F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47B78D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7722A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02DD2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C1940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34A4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2A4EDF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9A131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69271F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0D1901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B3B0F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00F4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ABF72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55E1735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D3B352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bl>
    <w:p w14:paraId="118443F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C15D55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2.最后，请总结一下《朝花夕拾》的艺术特色。</w:t>
      </w:r>
    </w:p>
    <w:p w14:paraId="7CBFE1F1">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34587E10">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CA7DC46">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567EAFE4">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1ACF7027">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3D88E7BD">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75A96C14">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6E02B2A">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[课后学习任务]</w:t>
      </w:r>
    </w:p>
    <w:p w14:paraId="3E18E7D2">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1.选择自己喜欢的段落进行朗诵设计，录制朗诵视频，在班级群分享。</w:t>
      </w:r>
    </w:p>
    <w:p w14:paraId="44C7876A">
      <w:pPr>
        <w:tabs>
          <w:tab w:val="left" w:pos="4320"/>
        </w:tabs>
        <w:wordWrap w:val="0"/>
        <w:snapToGrid w:val="0"/>
        <w:spacing w:line="360" w:lineRule="auto"/>
        <w:ind w:firstLine="420" w:firstLineChars="200"/>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2.模仿文中比喻、拟人，各造一个句子。</w:t>
      </w:r>
    </w:p>
    <w:p w14:paraId="17D1EF52">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szCs w:val="21"/>
          <w:lang w:val="en-US" w:eastAsia="zh-CN"/>
        </w:rPr>
        <w:t>3.完成本课《分层作业》</w:t>
      </w:r>
      <w:r>
        <w:rPr>
          <w:rFonts w:hint="eastAsia" w:ascii="宋体" w:hAnsi="宋体" w:eastAsia="宋体" w:cs="Times New Roman"/>
          <w:color w:val="FF0000"/>
          <w:szCs w:val="21"/>
        </w:rPr>
        <w:br w:type="page"/>
      </w:r>
    </w:p>
    <w:p w14:paraId="0B93E1FA">
      <w:pPr>
        <w:tabs>
          <w:tab w:val="left" w:pos="4320"/>
        </w:tabs>
        <w:wordWrap w:val="0"/>
        <w:snapToGrid w:val="0"/>
        <w:spacing w:line="360" w:lineRule="auto"/>
        <w:jc w:val="center"/>
        <w:rPr>
          <w:rFonts w:hint="eastAsia" w:ascii="宋体" w:hAnsi="宋体" w:eastAsia="宋体" w:cs="Times New Roman"/>
          <w:color w:val="FF0000"/>
          <w:szCs w:val="21"/>
        </w:rPr>
      </w:pPr>
      <w:r>
        <w:rPr>
          <w:rFonts w:hint="eastAsia" w:ascii="宋体" w:hAnsi="宋体" w:eastAsia="宋体" w:cs="Times New Roman"/>
          <w:color w:val="FF0000"/>
          <w:szCs w:val="21"/>
        </w:rPr>
        <w:t>点拨要点</w:t>
      </w:r>
    </w:p>
    <w:p w14:paraId="03C52049">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[课前学习任务]</w:t>
      </w:r>
    </w:p>
    <w:p w14:paraId="122CE6EA">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任务一：学·精读略读浏览方法</w:t>
      </w:r>
    </w:p>
    <w:p w14:paraId="16F8B6BD">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r>
        <w:rPr>
          <w:rFonts w:hint="eastAsia" w:ascii="宋体" w:hAnsi="宋体" w:eastAsia="宋体" w:cs="宋体"/>
          <w:color w:val="FF0000"/>
          <w:szCs w:val="21"/>
          <w:lang w:val="en-US" w:eastAsia="zh-CN"/>
        </w:rPr>
        <w:t>①</w:t>
      </w:r>
      <w:r>
        <w:rPr>
          <w:rFonts w:hint="default" w:ascii="宋体" w:hAnsi="宋体" w:eastAsia="宋体" w:cs="Times New Roman"/>
          <w:color w:val="FF0000"/>
          <w:szCs w:val="21"/>
          <w:lang w:val="en-US" w:eastAsia="zh-CN"/>
        </w:rPr>
        <w:t>精读指向细腻的感受、透彻的理解和广泛的联想；</w:t>
      </w:r>
      <w:r>
        <w:rPr>
          <w:rFonts w:hint="eastAsia" w:ascii="宋体" w:hAnsi="宋体" w:eastAsia="宋体" w:cs="宋体"/>
          <w:color w:val="FF0000"/>
          <w:szCs w:val="21"/>
          <w:lang w:val="en-US" w:eastAsia="zh-CN"/>
        </w:rPr>
        <w:t>②</w:t>
      </w:r>
      <w:r>
        <w:rPr>
          <w:rFonts w:hint="default" w:ascii="宋体" w:hAnsi="宋体" w:eastAsia="宋体" w:cs="Times New Roman"/>
          <w:color w:val="FF0000"/>
          <w:szCs w:val="21"/>
          <w:lang w:val="en-US" w:eastAsia="zh-CN"/>
        </w:rPr>
        <w:t>略读就是粗略地阅读以粗知大意，观其大略;</w:t>
      </w:r>
      <w:r>
        <w:rPr>
          <w:rFonts w:hint="eastAsia" w:ascii="宋体" w:hAnsi="宋体" w:eastAsia="宋体" w:cs="宋体"/>
          <w:color w:val="FF0000"/>
          <w:szCs w:val="21"/>
          <w:lang w:val="en-US" w:eastAsia="zh-CN"/>
        </w:rPr>
        <w:t>③</w:t>
      </w:r>
      <w:r>
        <w:rPr>
          <w:rFonts w:hint="default" w:ascii="宋体" w:hAnsi="宋体" w:eastAsia="宋体" w:cs="Times New Roman"/>
          <w:color w:val="FF0000"/>
          <w:szCs w:val="21"/>
          <w:lang w:val="en-US" w:eastAsia="zh-CN"/>
        </w:rPr>
        <w:t>浏览则是快速地扫视、有意地跳读，以抓住关键信息，求得更高的阅读效率。</w:t>
      </w:r>
    </w:p>
    <w:p w14:paraId="10ECFFEB">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2.</w:t>
      </w:r>
      <w:r>
        <w:rPr>
          <w:rFonts w:hint="eastAsia" w:ascii="宋体" w:hAnsi="宋体" w:eastAsia="宋体" w:cs="宋体"/>
          <w:color w:val="FF0000"/>
          <w:szCs w:val="21"/>
          <w:lang w:val="en-US" w:eastAsia="zh-CN"/>
        </w:rPr>
        <w:t>①细品。即逐字逐句地认真阅读，把书“读”。②精思。即边读边思考，对书中的内容提出疑问或质疑等，把书“读深”。③鉴赏。围绕内容、主题、手法某一方面对作品进行探究，思考书的时代价值与当代意义，把书“读透”。</w:t>
      </w:r>
    </w:p>
    <w:p w14:paraId="65A5096A">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3.略读和浏览都是“检阅式”的阅读，只求多多收益，不求句句确解。略读实际上是我们日常阅读中最常用的方式，速度比较快，可以让我们大致了解一本书的主要内容，在较短时间内增加阅读量。</w:t>
      </w:r>
    </w:p>
    <w:p w14:paraId="4BDFDEA8">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浏览重在了解全书基本面貌，以便迅速找到所需的内容，因此可以先阅读书的各个部件，如序言、目录、后记等，对全书的创作背景、内容主题有大致的把握;然后快速翻阅全书，可以略过与阅读目的无关、自己不感兴趣或觉得不好理解的内容，以最快的速度完成阅读。</w:t>
      </w:r>
    </w:p>
    <w:p w14:paraId="3409A6C4">
      <w:pPr>
        <w:tabs>
          <w:tab w:val="left" w:pos="4320"/>
        </w:tabs>
        <w:snapToGrid w:val="0"/>
        <w:spacing w:line="360" w:lineRule="auto"/>
        <w:ind w:firstLine="420" w:firstLineChars="200"/>
        <w:rPr>
          <w:rFonts w:hint="default"/>
          <w:color w:val="FF0000"/>
          <w:lang w:val="en-US" w:eastAsia="zh-CN"/>
        </w:rPr>
      </w:pPr>
      <w:r>
        <w:rPr>
          <w:rFonts w:hint="eastAsia" w:ascii="宋体" w:hAnsi="宋体" w:eastAsia="宋体" w:cs="Times New Roman"/>
          <w:color w:val="FF0000"/>
          <w:szCs w:val="21"/>
          <w:lang w:val="en-US" w:eastAsia="zh-CN"/>
        </w:rPr>
        <w:t>4.</w:t>
      </w:r>
      <w:r>
        <w:rPr>
          <w:rFonts w:hint="default" w:ascii="宋体" w:hAnsi="宋体" w:eastAsia="宋体" w:cs="Times New Roman"/>
          <w:color w:val="FF0000"/>
          <w:szCs w:val="21"/>
          <w:lang w:val="en-US" w:eastAsia="zh-CN"/>
        </w:rPr>
        <w:t>阅读《朝花夕拾》，可以先浏览目录、小引和后记，了解本书的创作背景、鲁迅的创作初衷，再挑选自己感兴趣的篇目精读，略读其他篇目。</w:t>
      </w:r>
    </w:p>
    <w:p w14:paraId="1C163823">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[课中学习任务]</w:t>
      </w:r>
    </w:p>
    <w:p w14:paraId="7D1882EA">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任务二：探·鲁迅“朝花”何以“夕拾”</w:t>
      </w:r>
    </w:p>
    <w:p w14:paraId="60B86D8E">
      <w:pPr>
        <w:tabs>
          <w:tab w:val="left" w:pos="4320"/>
        </w:tabs>
        <w:snapToGrid w:val="0"/>
        <w:spacing w:line="360" w:lineRule="auto"/>
        <w:ind w:firstLine="420" w:firstLineChars="200"/>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1.</w:t>
      </w:r>
      <w:r>
        <w:rPr>
          <w:rFonts w:hint="default" w:ascii="宋体" w:hAnsi="宋体" w:eastAsia="宋体" w:cs="宋体"/>
          <w:color w:val="FF0000"/>
          <w:szCs w:val="21"/>
          <w:lang w:val="en-US" w:eastAsia="zh-CN"/>
        </w:rPr>
        <w:t>前两篇写于北京寓所的东壁下;中三篇是流离中所作,地方是医院和木匠房;后五篇写于厦门大学的图书馆的楼上,已经是被学者们挤出集团之后了。</w:t>
      </w:r>
    </w:p>
    <w:p w14:paraId="1026F76D">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2.《小引》中“旧事重提”这个题目提示着这本散文集中的回忆色彩,我们很自然地被鲁迅先生带入了一个童年世界。在童年世界里,我们仿佛也找到了自己的影子,和小樟寿一起快乐地玩耍,一起感受学业的压力,一起体会生活中的惊喜,一起品尝成长的滋味……然而鲁迅先生的不凡之处在于,在孩子的眼睛里,还看见了封建礼教尤其是落后的教育观念对孩子的影响,这与他“救救孩子”的呼声是相似的,还听见了鲁迅先生对黑暗现实的嘲讽:庸医误人、世俗谄媚、人世凉薄……都说孩子的声音是最纯真的,那么儿童视角下的语言就是最真实、最有力的。“朝花”以“夕拾”的方式来呈现,既是“带露折花”,也是关注时事的。</w:t>
      </w:r>
    </w:p>
    <w:p w14:paraId="4922299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3.</w:t>
      </w:r>
    </w:p>
    <w:p w14:paraId="4A75A8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FF0000"/>
          <w:szCs w:val="21"/>
          <w:lang w:val="en-US" w:eastAsia="zh-CN"/>
        </w:rPr>
      </w:pPr>
      <w:r>
        <w:rPr>
          <w:color w:val="FF0000"/>
        </w:rPr>
        <w:drawing>
          <wp:inline distT="0" distB="0" distL="114300" distR="114300">
            <wp:extent cx="4142105" cy="1876425"/>
            <wp:effectExtent l="0" t="0" r="3175" b="1333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1"/>
                    <a:stretch>
                      <a:fillRect/>
                    </a:stretch>
                  </pic:blipFill>
                  <pic:spPr>
                    <a:xfrm>
                      <a:off x="0" y="0"/>
                      <a:ext cx="4142105" cy="1876425"/>
                    </a:xfrm>
                    <a:prstGeom prst="rect">
                      <a:avLst/>
                    </a:prstGeom>
                    <a:noFill/>
                    <a:ln>
                      <a:noFill/>
                    </a:ln>
                  </pic:spPr>
                </pic:pic>
              </a:graphicData>
            </a:graphic>
          </wp:inline>
        </w:drawing>
      </w:r>
    </w:p>
    <w:p w14:paraId="2011E2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附：《朝花夕拾》十篇主要内容梳理表</w:t>
      </w:r>
    </w:p>
    <w:tbl>
      <w:tblPr>
        <w:tblStyle w:val="8"/>
        <w:tblW w:w="0" w:type="auto"/>
        <w:tblInd w:w="514"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603"/>
        <w:gridCol w:w="83"/>
        <w:gridCol w:w="1521"/>
        <w:gridCol w:w="81"/>
        <w:gridCol w:w="3879"/>
        <w:gridCol w:w="73"/>
        <w:gridCol w:w="2138"/>
      </w:tblGrid>
      <w:tr w14:paraId="785401E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0" w:hRule="atLeast"/>
        </w:trPr>
        <w:tc>
          <w:tcPr>
            <w:tcW w:w="9378" w:type="dxa"/>
            <w:gridSpan w:val="7"/>
            <w:tcBorders>
              <w:tl2br w:val="nil"/>
              <w:tr2bl w:val="nil"/>
            </w:tcBorders>
            <w:vAlign w:val="center"/>
          </w:tcPr>
          <w:p w14:paraId="0734E9C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第一类：侧重写人</w:t>
            </w:r>
          </w:p>
          <w:p w14:paraId="63E22E7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——主要挖掘普通人身上朴实、善良等美好品质，流露出作者的真挚感情。</w:t>
            </w:r>
          </w:p>
        </w:tc>
      </w:tr>
      <w:tr w14:paraId="114558DF">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0" w:hRule="atLeast"/>
        </w:trPr>
        <w:tc>
          <w:tcPr>
            <w:tcW w:w="1603" w:type="dxa"/>
            <w:tcBorders>
              <w:tl2br w:val="nil"/>
              <w:tr2bl w:val="nil"/>
            </w:tcBorders>
            <w:vAlign w:val="center"/>
          </w:tcPr>
          <w:p w14:paraId="1D59A6D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篇目</w:t>
            </w:r>
          </w:p>
        </w:tc>
        <w:tc>
          <w:tcPr>
            <w:tcW w:w="1604" w:type="dxa"/>
            <w:gridSpan w:val="2"/>
            <w:tcBorders>
              <w:tl2br w:val="nil"/>
              <w:tr2bl w:val="nil"/>
            </w:tcBorders>
            <w:vAlign w:val="center"/>
          </w:tcPr>
          <w:p w14:paraId="03E386D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辨识关键词</w:t>
            </w:r>
          </w:p>
        </w:tc>
        <w:tc>
          <w:tcPr>
            <w:tcW w:w="3960" w:type="dxa"/>
            <w:gridSpan w:val="2"/>
            <w:tcBorders>
              <w:tl2br w:val="nil"/>
              <w:tr2bl w:val="nil"/>
            </w:tcBorders>
            <w:vAlign w:val="center"/>
          </w:tcPr>
          <w:p w14:paraId="5AE6E885">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内容简介</w:t>
            </w:r>
          </w:p>
        </w:tc>
        <w:tc>
          <w:tcPr>
            <w:tcW w:w="2211" w:type="dxa"/>
            <w:gridSpan w:val="2"/>
            <w:tcBorders>
              <w:tl2br w:val="nil"/>
              <w:tr2bl w:val="nil"/>
            </w:tcBorders>
            <w:vAlign w:val="center"/>
          </w:tcPr>
          <w:p w14:paraId="22CDBE64">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主旨情感</w:t>
            </w:r>
          </w:p>
        </w:tc>
      </w:tr>
      <w:tr w14:paraId="0D3159E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0" w:hRule="atLeast"/>
        </w:trPr>
        <w:tc>
          <w:tcPr>
            <w:tcW w:w="1603" w:type="dxa"/>
            <w:tcBorders>
              <w:tl2br w:val="nil"/>
              <w:tr2bl w:val="nil"/>
            </w:tcBorders>
            <w:vAlign w:val="center"/>
          </w:tcPr>
          <w:p w14:paraId="3D3E079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《阿长与&lt;山海经&gt;》</w:t>
            </w:r>
          </w:p>
        </w:tc>
        <w:tc>
          <w:tcPr>
            <w:tcW w:w="1604" w:type="dxa"/>
            <w:gridSpan w:val="2"/>
            <w:tcBorders>
              <w:tl2br w:val="nil"/>
              <w:tr2bl w:val="nil"/>
            </w:tcBorders>
            <w:vAlign w:val="center"/>
          </w:tcPr>
          <w:p w14:paraId="3519341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长妈妈、福橘、长毛、“三哼经”</w:t>
            </w:r>
          </w:p>
        </w:tc>
        <w:tc>
          <w:tcPr>
            <w:tcW w:w="3960" w:type="dxa"/>
            <w:gridSpan w:val="2"/>
            <w:tcBorders>
              <w:tl2br w:val="nil"/>
              <w:tr2bl w:val="nil"/>
            </w:tcBorders>
            <w:vAlign w:val="center"/>
          </w:tcPr>
          <w:p w14:paraId="060BEF77">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通过记叙儿时“我”与保姆长妈妈相处时的几件事，着重描写“我”对长妈妈的感情变化，刻画了一位迷信、唠叨、“满肚子是麻烦的礼节”，但纯朴善良的旧中国劳动妇女形象。</w:t>
            </w:r>
          </w:p>
        </w:tc>
        <w:tc>
          <w:tcPr>
            <w:tcW w:w="2211" w:type="dxa"/>
            <w:gridSpan w:val="2"/>
            <w:tcBorders>
              <w:tl2br w:val="nil"/>
              <w:tr2bl w:val="nil"/>
            </w:tcBorders>
            <w:vAlign w:val="center"/>
          </w:tcPr>
          <w:p w14:paraId="6D9F134F">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表达了“我”对长妈妈的尊敬、感激、怀念和祝愿之情。</w:t>
            </w:r>
          </w:p>
        </w:tc>
      </w:tr>
      <w:tr w14:paraId="34BB04F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3" w:hRule="atLeast"/>
        </w:trPr>
        <w:tc>
          <w:tcPr>
            <w:tcW w:w="1603" w:type="dxa"/>
            <w:tcBorders>
              <w:tl2br w:val="nil"/>
              <w:tr2bl w:val="nil"/>
            </w:tcBorders>
            <w:vAlign w:val="center"/>
          </w:tcPr>
          <w:p w14:paraId="20F5CED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《藤野先生》</w:t>
            </w:r>
          </w:p>
        </w:tc>
        <w:tc>
          <w:tcPr>
            <w:tcW w:w="1604" w:type="dxa"/>
            <w:gridSpan w:val="2"/>
            <w:tcBorders>
              <w:tl2br w:val="nil"/>
              <w:tr2bl w:val="nil"/>
            </w:tcBorders>
            <w:vAlign w:val="center"/>
          </w:tcPr>
          <w:p w14:paraId="50C7AAF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东京、樱花、仙台、“胶菜”、讲义、解剖、裹脚</w:t>
            </w:r>
          </w:p>
        </w:tc>
        <w:tc>
          <w:tcPr>
            <w:tcW w:w="3960" w:type="dxa"/>
            <w:gridSpan w:val="2"/>
            <w:tcBorders>
              <w:tl2br w:val="nil"/>
              <w:tr2bl w:val="nil"/>
            </w:tcBorders>
            <w:vAlign w:val="center"/>
          </w:tcPr>
          <w:p w14:paraId="0B3B140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文章回忆了“我”在日本留学时期的学习生活，叙述了在仙台学医时老师藤野先生对“我”的教诲，并记述了自己受日本学生的歧视、侮辱而决定弃医从文的经过。</w:t>
            </w:r>
          </w:p>
        </w:tc>
        <w:tc>
          <w:tcPr>
            <w:tcW w:w="2211" w:type="dxa"/>
            <w:gridSpan w:val="2"/>
            <w:tcBorders>
              <w:tl2br w:val="nil"/>
              <w:tr2bl w:val="nil"/>
            </w:tcBorders>
            <w:vAlign w:val="center"/>
          </w:tcPr>
          <w:p w14:paraId="6950893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文章突出表现了藤野先生严谨、正直、热忱、没有民族偏见的高尚品格，表达了作者对藤野先生深切的怀念。</w:t>
            </w:r>
          </w:p>
        </w:tc>
      </w:tr>
      <w:tr w14:paraId="75848D9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3" w:hRule="atLeast"/>
        </w:trPr>
        <w:tc>
          <w:tcPr>
            <w:tcW w:w="1603" w:type="dxa"/>
            <w:tcBorders>
              <w:tl2br w:val="nil"/>
              <w:tr2bl w:val="nil"/>
            </w:tcBorders>
            <w:vAlign w:val="center"/>
          </w:tcPr>
          <w:p w14:paraId="164202B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《范爱农》</w:t>
            </w:r>
          </w:p>
        </w:tc>
        <w:tc>
          <w:tcPr>
            <w:tcW w:w="1604" w:type="dxa"/>
            <w:gridSpan w:val="2"/>
            <w:tcBorders>
              <w:tl2br w:val="nil"/>
              <w:tr2bl w:val="nil"/>
            </w:tcBorders>
            <w:vAlign w:val="center"/>
          </w:tcPr>
          <w:p w14:paraId="4D772DD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范爱农、电报、光复、报馆案</w:t>
            </w:r>
          </w:p>
        </w:tc>
        <w:tc>
          <w:tcPr>
            <w:tcW w:w="3960" w:type="dxa"/>
            <w:gridSpan w:val="2"/>
            <w:tcBorders>
              <w:tl2br w:val="nil"/>
              <w:tr2bl w:val="nil"/>
            </w:tcBorders>
            <w:vAlign w:val="center"/>
          </w:tcPr>
          <w:p w14:paraId="1DC65F4C">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在日本留学时，“我”与范爱农在同乡会上为要不要发电报痛斥清政府残忍杀害徐锡麟一事而发生争执，“我”认为他“很可恶”。到革命的前一年，“我”在故乡做教员时又遇到范爱农，两人冰释前嫌，谈起各自的经历,并回忆了在东京产生误会的根源。武昌起义绍兴光复之后，“我”做了师范学校校长，他做监学。他办事，兼教书，实在勤快得可以。在报馆案风波中，范爱农追求革命却备受打击迫害，监学的工作也被设法去掉了。他又成了革命前的爱农，什么事也没得做。后来，几个新的朋友约他坐船去看戏，他却因酒醉落水淹死，“我”疑心他是自杀。</w:t>
            </w:r>
          </w:p>
        </w:tc>
        <w:tc>
          <w:tcPr>
            <w:tcW w:w="2211" w:type="dxa"/>
            <w:gridSpan w:val="2"/>
            <w:tcBorders>
              <w:tl2br w:val="nil"/>
              <w:tr2bl w:val="nil"/>
            </w:tcBorders>
            <w:vAlign w:val="center"/>
          </w:tcPr>
          <w:p w14:paraId="43CEB56F">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文章表达了对旧民主主义革命的失望和对这位正直、倔强的爱国者的同情与悼念，揭露了封建社会对正直的爱国知识分子的摧残。</w:t>
            </w:r>
          </w:p>
          <w:p w14:paraId="4F34249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p>
        </w:tc>
      </w:tr>
      <w:tr w14:paraId="2338929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0" w:hRule="atLeast"/>
        </w:trPr>
        <w:tc>
          <w:tcPr>
            <w:tcW w:w="9378" w:type="dxa"/>
            <w:gridSpan w:val="7"/>
            <w:tcBorders>
              <w:tl2br w:val="nil"/>
              <w:tr2bl w:val="nil"/>
            </w:tcBorders>
            <w:vAlign w:val="center"/>
          </w:tcPr>
          <w:p w14:paraId="50F0959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第二类：侧重记事</w:t>
            </w:r>
          </w:p>
          <w:p w14:paraId="3115BE4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——记叙童年、少年时期的生活经历，表达对旧日美好生活的眷恋，也有对旧礼制的批判。</w:t>
            </w:r>
          </w:p>
        </w:tc>
      </w:tr>
      <w:tr w14:paraId="655E494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0" w:hRule="atLeast"/>
        </w:trPr>
        <w:tc>
          <w:tcPr>
            <w:tcW w:w="1603" w:type="dxa"/>
            <w:tcBorders>
              <w:tl2br w:val="nil"/>
              <w:tr2bl w:val="nil"/>
            </w:tcBorders>
            <w:vAlign w:val="center"/>
          </w:tcPr>
          <w:p w14:paraId="7606D08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篇目</w:t>
            </w:r>
          </w:p>
        </w:tc>
        <w:tc>
          <w:tcPr>
            <w:tcW w:w="1604" w:type="dxa"/>
            <w:gridSpan w:val="2"/>
            <w:tcBorders>
              <w:tl2br w:val="nil"/>
              <w:tr2bl w:val="nil"/>
            </w:tcBorders>
            <w:vAlign w:val="center"/>
          </w:tcPr>
          <w:p w14:paraId="6DB8A747">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辨识关键词</w:t>
            </w:r>
          </w:p>
        </w:tc>
        <w:tc>
          <w:tcPr>
            <w:tcW w:w="3960" w:type="dxa"/>
            <w:gridSpan w:val="2"/>
            <w:tcBorders>
              <w:tl2br w:val="nil"/>
              <w:tr2bl w:val="nil"/>
            </w:tcBorders>
            <w:vAlign w:val="center"/>
          </w:tcPr>
          <w:p w14:paraId="6668208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内容简介</w:t>
            </w:r>
          </w:p>
        </w:tc>
        <w:tc>
          <w:tcPr>
            <w:tcW w:w="2211" w:type="dxa"/>
            <w:gridSpan w:val="2"/>
            <w:tcBorders>
              <w:tl2br w:val="nil"/>
              <w:tr2bl w:val="nil"/>
            </w:tcBorders>
            <w:vAlign w:val="center"/>
          </w:tcPr>
          <w:p w14:paraId="26AC69D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主旨情感</w:t>
            </w:r>
          </w:p>
        </w:tc>
      </w:tr>
      <w:tr w14:paraId="5C7DAD3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0" w:hRule="atLeast"/>
        </w:trPr>
        <w:tc>
          <w:tcPr>
            <w:tcW w:w="1603" w:type="dxa"/>
            <w:tcBorders>
              <w:tl2br w:val="nil"/>
              <w:tr2bl w:val="nil"/>
            </w:tcBorders>
            <w:vAlign w:val="center"/>
          </w:tcPr>
          <w:p w14:paraId="2376FE7B">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《从百草园到三味书屋》</w:t>
            </w:r>
          </w:p>
        </w:tc>
        <w:tc>
          <w:tcPr>
            <w:tcW w:w="1604" w:type="dxa"/>
            <w:gridSpan w:val="2"/>
            <w:tcBorders>
              <w:tl2br w:val="nil"/>
              <w:tr2bl w:val="nil"/>
            </w:tcBorders>
            <w:vAlign w:val="center"/>
          </w:tcPr>
          <w:p w14:paraId="6C9E1C0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何首乌、赤练蛇、“美女蛇”、“张飞鸟”、捕鸟、画画</w:t>
            </w:r>
          </w:p>
        </w:tc>
        <w:tc>
          <w:tcPr>
            <w:tcW w:w="3960" w:type="dxa"/>
            <w:gridSpan w:val="2"/>
            <w:tcBorders>
              <w:tl2br w:val="nil"/>
              <w:tr2bl w:val="nil"/>
            </w:tcBorders>
            <w:vAlign w:val="center"/>
          </w:tcPr>
          <w:p w14:paraId="48DA4CC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文章由两部分构成：“百草园中的游戏玩乐”和“三味书屋中的读书学习”。两部分内容前后连接。展现了一个儿童的成长过程。前半部分写“我”在百草园里的生活。回忆了百草园的景物、长妈妈讲的美女蛇的故事、“我”跟闰土父亲学捕鸟，乐趣无穷；后半部分选取行礼拜师、问“怪哉”虫、大声读书三个片段来写三味书屋的读书生活，枯燥乏味中却充满乐趣。</w:t>
            </w:r>
          </w:p>
        </w:tc>
        <w:tc>
          <w:tcPr>
            <w:tcW w:w="2211" w:type="dxa"/>
            <w:gridSpan w:val="2"/>
            <w:tcBorders>
              <w:tl2br w:val="nil"/>
              <w:tr2bl w:val="nil"/>
            </w:tcBorders>
            <w:vAlign w:val="center"/>
          </w:tcPr>
          <w:p w14:paraId="60B1675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揭示了儿童广泛的生活趣味与束缚儿童天性的封建私塾教育之间的尖锐矛盾。表达了应让儿童健康活泼成长的诉求。</w:t>
            </w:r>
          </w:p>
        </w:tc>
      </w:tr>
      <w:tr w14:paraId="2CC88B9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3" w:hRule="atLeast"/>
        </w:trPr>
        <w:tc>
          <w:tcPr>
            <w:tcW w:w="1603" w:type="dxa"/>
            <w:tcBorders>
              <w:tl2br w:val="nil"/>
              <w:tr2bl w:val="nil"/>
            </w:tcBorders>
            <w:vAlign w:val="center"/>
          </w:tcPr>
          <w:p w14:paraId="2544F21C">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《琐记》</w:t>
            </w:r>
          </w:p>
        </w:tc>
        <w:tc>
          <w:tcPr>
            <w:tcW w:w="1604" w:type="dxa"/>
            <w:gridSpan w:val="2"/>
            <w:tcBorders>
              <w:tl2br w:val="nil"/>
              <w:tr2bl w:val="nil"/>
            </w:tcBorders>
            <w:vAlign w:val="center"/>
          </w:tcPr>
          <w:p w14:paraId="42E22AEF">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衍太太、吃冰、《天演论》、《时务报》、中国袜</w:t>
            </w:r>
          </w:p>
          <w:p w14:paraId="381F1387">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p>
        </w:tc>
        <w:tc>
          <w:tcPr>
            <w:tcW w:w="3960" w:type="dxa"/>
            <w:gridSpan w:val="2"/>
            <w:tcBorders>
              <w:tl2br w:val="nil"/>
              <w:tr2bl w:val="nil"/>
            </w:tcBorders>
            <w:vAlign w:val="center"/>
          </w:tcPr>
          <w:p w14:paraId="1351F62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作品开始回忆了“我”和衍太太相处的几件事（吃冰、打旋子、偷母亲珠宝），后面讲述了“我”为寻找“别一类人们”离开绍兴去南京求学，描述了当时江南水师学堂和矿务铁路学堂的种种弊端以及求知的艰难，批评了洋务派办学的“乌烟瘴气”。</w:t>
            </w:r>
          </w:p>
        </w:tc>
        <w:tc>
          <w:tcPr>
            <w:tcW w:w="2211" w:type="dxa"/>
            <w:gridSpan w:val="2"/>
            <w:tcBorders>
              <w:tl2br w:val="nil"/>
              <w:tr2bl w:val="nil"/>
            </w:tcBorders>
            <w:vAlign w:val="center"/>
          </w:tcPr>
          <w:p w14:paraId="49A6912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歌颂了“不满现状”的青年革命，表现出探求真理的强烈欲望。</w:t>
            </w:r>
          </w:p>
        </w:tc>
      </w:tr>
      <w:tr w14:paraId="683ED39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3" w:hRule="atLeast"/>
        </w:trPr>
        <w:tc>
          <w:tcPr>
            <w:tcW w:w="1603" w:type="dxa"/>
            <w:tcBorders>
              <w:tl2br w:val="nil"/>
              <w:tr2bl w:val="nil"/>
            </w:tcBorders>
            <w:vAlign w:val="center"/>
          </w:tcPr>
          <w:p w14:paraId="2CB6066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《无常》</w:t>
            </w:r>
          </w:p>
        </w:tc>
        <w:tc>
          <w:tcPr>
            <w:tcW w:w="1604" w:type="dxa"/>
            <w:gridSpan w:val="2"/>
            <w:tcBorders>
              <w:tl2br w:val="nil"/>
              <w:tr2bl w:val="nil"/>
            </w:tcBorders>
            <w:vAlign w:val="center"/>
          </w:tcPr>
          <w:p w14:paraId="19B70914">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《玉历钞传》、迎神赛会、活无常、城隍庙、东岳庙、“阴司间”、吊死鬼、科场鬼</w:t>
            </w:r>
          </w:p>
        </w:tc>
        <w:tc>
          <w:tcPr>
            <w:tcW w:w="3960" w:type="dxa"/>
            <w:gridSpan w:val="2"/>
            <w:tcBorders>
              <w:tl2br w:val="nil"/>
              <w:tr2bl w:val="nil"/>
            </w:tcBorders>
            <w:vAlign w:val="center"/>
          </w:tcPr>
          <w:p w14:paraId="0D0881FC">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描述了“我”儿时在乡间迎神赛会和戏剧舞台上所见的“无常”形象，这个“鬼而人，理而情”、爽直而公正的形象受到民众的喜爱，是因为人间没有公正，恶人得不到恶报，而公正的裁判是在阴间。</w:t>
            </w:r>
          </w:p>
        </w:tc>
        <w:tc>
          <w:tcPr>
            <w:tcW w:w="2211" w:type="dxa"/>
            <w:gridSpan w:val="2"/>
            <w:tcBorders>
              <w:tl2br w:val="nil"/>
              <w:tr2bl w:val="nil"/>
            </w:tcBorders>
            <w:vAlign w:val="center"/>
          </w:tcPr>
          <w:p w14:paraId="00E425B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用阴间讽刺人间，在夹叙夹议中对打着“公理”“正义”旗号的“正人君子”予以辛辣的讽刺。</w:t>
            </w:r>
          </w:p>
        </w:tc>
      </w:tr>
      <w:tr w14:paraId="472820D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3" w:hRule="atLeast"/>
        </w:trPr>
        <w:tc>
          <w:tcPr>
            <w:tcW w:w="1603" w:type="dxa"/>
            <w:tcBorders>
              <w:tl2br w:val="nil"/>
              <w:tr2bl w:val="nil"/>
            </w:tcBorders>
            <w:vAlign w:val="center"/>
          </w:tcPr>
          <w:p w14:paraId="7931D24C">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《五猖会》</w:t>
            </w:r>
          </w:p>
        </w:tc>
        <w:tc>
          <w:tcPr>
            <w:tcW w:w="1604" w:type="dxa"/>
            <w:gridSpan w:val="2"/>
            <w:tcBorders>
              <w:tl2br w:val="nil"/>
              <w:tr2bl w:val="nil"/>
            </w:tcBorders>
            <w:vAlign w:val="center"/>
          </w:tcPr>
          <w:p w14:paraId="72152C1B">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迎神赛会、《陶庵梦忆》《鉴略》</w:t>
            </w:r>
          </w:p>
        </w:tc>
        <w:tc>
          <w:tcPr>
            <w:tcW w:w="3960" w:type="dxa"/>
            <w:gridSpan w:val="2"/>
            <w:tcBorders>
              <w:tl2br w:val="nil"/>
              <w:tr2bl w:val="nil"/>
            </w:tcBorders>
            <w:vAlign w:val="center"/>
          </w:tcPr>
          <w:p w14:paraId="620F9486">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记叙儿时要去看五猖会，想到难逢如此盛大的庙会，“我”笑着跳着，兴奋得不得了。出发前，父亲却命令“我”背书（《鉴略》）：“给我读熟。 背不出，就不准去看会。”一盆冷水把“我”的兴致全浇灭了。待“我”读熟，在父亲面前“梦似的”背完，对去“看会”，已觉索然无味了。</w:t>
            </w:r>
          </w:p>
        </w:tc>
        <w:tc>
          <w:tcPr>
            <w:tcW w:w="2211" w:type="dxa"/>
            <w:gridSpan w:val="2"/>
            <w:tcBorders>
              <w:tl2br w:val="nil"/>
              <w:tr2bl w:val="nil"/>
            </w:tcBorders>
            <w:vAlign w:val="center"/>
          </w:tcPr>
          <w:p w14:paraId="1672971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文章批判了强制的封建教育对儿童天性的压制和摧残。</w:t>
            </w:r>
          </w:p>
        </w:tc>
      </w:tr>
      <w:tr w14:paraId="0296C02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0" w:hRule="atLeast"/>
        </w:trPr>
        <w:tc>
          <w:tcPr>
            <w:tcW w:w="9378" w:type="dxa"/>
            <w:gridSpan w:val="7"/>
            <w:tcBorders>
              <w:tl2br w:val="nil"/>
              <w:tr2bl w:val="nil"/>
            </w:tcBorders>
            <w:vAlign w:val="center"/>
          </w:tcPr>
          <w:p w14:paraId="7243138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第三类：记事兼议论</w:t>
            </w:r>
          </w:p>
          <w:p w14:paraId="39581F3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——夹叙夹议中，穿插童年的生活经历，讽刺和批判旧社会与旧道德。</w:t>
            </w:r>
          </w:p>
        </w:tc>
      </w:tr>
      <w:tr w14:paraId="2A94A57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0" w:hRule="atLeast"/>
        </w:trPr>
        <w:tc>
          <w:tcPr>
            <w:tcW w:w="1686" w:type="dxa"/>
            <w:gridSpan w:val="2"/>
            <w:tcBorders>
              <w:tl2br w:val="nil"/>
              <w:tr2bl w:val="nil"/>
            </w:tcBorders>
            <w:vAlign w:val="center"/>
          </w:tcPr>
          <w:p w14:paraId="3D9FA74D">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篇目</w:t>
            </w:r>
          </w:p>
        </w:tc>
        <w:tc>
          <w:tcPr>
            <w:tcW w:w="1602" w:type="dxa"/>
            <w:gridSpan w:val="2"/>
            <w:tcBorders>
              <w:tl2br w:val="nil"/>
              <w:tr2bl w:val="nil"/>
            </w:tcBorders>
            <w:vAlign w:val="center"/>
          </w:tcPr>
          <w:p w14:paraId="140040C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辨识关键词</w:t>
            </w:r>
          </w:p>
        </w:tc>
        <w:tc>
          <w:tcPr>
            <w:tcW w:w="3952" w:type="dxa"/>
            <w:gridSpan w:val="2"/>
            <w:tcBorders>
              <w:tl2br w:val="nil"/>
              <w:tr2bl w:val="nil"/>
            </w:tcBorders>
            <w:vAlign w:val="center"/>
          </w:tcPr>
          <w:p w14:paraId="6AF3CD9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内容简介</w:t>
            </w:r>
          </w:p>
        </w:tc>
        <w:tc>
          <w:tcPr>
            <w:tcW w:w="2138" w:type="dxa"/>
            <w:tcBorders>
              <w:tl2br w:val="nil"/>
              <w:tr2bl w:val="nil"/>
            </w:tcBorders>
            <w:vAlign w:val="center"/>
          </w:tcPr>
          <w:p w14:paraId="7251DABC">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主旨情感</w:t>
            </w:r>
          </w:p>
        </w:tc>
      </w:tr>
      <w:tr w14:paraId="29D8EB3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0" w:hRule="atLeast"/>
        </w:trPr>
        <w:tc>
          <w:tcPr>
            <w:tcW w:w="1686" w:type="dxa"/>
            <w:gridSpan w:val="2"/>
            <w:tcBorders>
              <w:tl2br w:val="nil"/>
              <w:tr2bl w:val="nil"/>
            </w:tcBorders>
            <w:vAlign w:val="center"/>
          </w:tcPr>
          <w:p w14:paraId="7B5EBECF">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《狗·猫·鼠》</w:t>
            </w:r>
          </w:p>
        </w:tc>
        <w:tc>
          <w:tcPr>
            <w:tcW w:w="1602" w:type="dxa"/>
            <w:gridSpan w:val="2"/>
            <w:tcBorders>
              <w:tl2br w:val="nil"/>
              <w:tr2bl w:val="nil"/>
            </w:tcBorders>
            <w:vAlign w:val="center"/>
          </w:tcPr>
          <w:p w14:paraId="0AACDF34">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仇猫、“落水狗" 、隐鼠</w:t>
            </w:r>
          </w:p>
        </w:tc>
        <w:tc>
          <w:tcPr>
            <w:tcW w:w="3952" w:type="dxa"/>
            <w:gridSpan w:val="2"/>
            <w:tcBorders>
              <w:tl2br w:val="nil"/>
              <w:tr2bl w:val="nil"/>
            </w:tcBorders>
            <w:vAlign w:val="center"/>
          </w:tcPr>
          <w:p w14:paraId="78EBD38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猫的罪行：第一，猫对自己捉到的猎物，总是尽情玩弄够了才吃下去；第二，它与虎同族，却天生一副媚态；第三，它们在交配时的嗥叫令人心烦；第四，它吃了“我”小时候心爱的一只隐鼠。虽然后来证实隐鼠并非它所害，但“我”对猫是不会产生好感的，何况它后来确实吃了小兔子。</w:t>
            </w:r>
          </w:p>
        </w:tc>
        <w:tc>
          <w:tcPr>
            <w:tcW w:w="2138" w:type="dxa"/>
            <w:tcBorders>
              <w:tl2br w:val="nil"/>
              <w:tr2bl w:val="nil"/>
            </w:tcBorders>
            <w:vAlign w:val="center"/>
          </w:tcPr>
          <w:p w14:paraId="0CBE960D">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本文是针对“正人君子”的攻击，嘲讽他们散布“流言”，表达了对“猫”一类的人“尽情折磨”弱者、“到处嗥叫”、时而“一副媚态”等特性的憎恶。同时，字里行间也流露出对弱小者的同情和对暴虐者的憎恨。</w:t>
            </w:r>
          </w:p>
        </w:tc>
      </w:tr>
      <w:tr w14:paraId="500E264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3" w:hRule="atLeast"/>
        </w:trPr>
        <w:tc>
          <w:tcPr>
            <w:tcW w:w="1686" w:type="dxa"/>
            <w:gridSpan w:val="2"/>
            <w:tcBorders>
              <w:tl2br w:val="nil"/>
              <w:tr2bl w:val="nil"/>
            </w:tcBorders>
            <w:vAlign w:val="center"/>
          </w:tcPr>
          <w:p w14:paraId="3FDC47E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《〈二十四孝图〉》</w:t>
            </w:r>
          </w:p>
        </w:tc>
        <w:tc>
          <w:tcPr>
            <w:tcW w:w="1602" w:type="dxa"/>
            <w:gridSpan w:val="2"/>
            <w:tcBorders>
              <w:tl2br w:val="nil"/>
              <w:tr2bl w:val="nil"/>
            </w:tcBorders>
            <w:vAlign w:val="center"/>
          </w:tcPr>
          <w:p w14:paraId="00D5FED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《开河记》《儿童世界》 《二十四孝图》、“卧冰求鲤”</w:t>
            </w:r>
          </w:p>
        </w:tc>
        <w:tc>
          <w:tcPr>
            <w:tcW w:w="3952" w:type="dxa"/>
            <w:gridSpan w:val="2"/>
            <w:tcBorders>
              <w:tl2br w:val="nil"/>
              <w:tr2bl w:val="nil"/>
            </w:tcBorders>
            <w:vAlign w:val="center"/>
          </w:tcPr>
          <w:p w14:paraId="3F272297">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作品从当时的儿童读物谈起,忆述儿时阅读《二十四孝图》的感受，着重分析了“卧冰求鲤”“老莱娱亲”“郭巨埋儿” 等孝道故事。</w:t>
            </w:r>
          </w:p>
        </w:tc>
        <w:tc>
          <w:tcPr>
            <w:tcW w:w="2138" w:type="dxa"/>
            <w:tcBorders>
              <w:tl2br w:val="nil"/>
              <w:tr2bl w:val="nil"/>
            </w:tcBorders>
            <w:vAlign w:val="center"/>
          </w:tcPr>
          <w:p w14:paraId="013C778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斥责这类封建孝道不顾儿童的性命，将“肉麻当作有趣”“以不情为伦纪，污蔑了古人，教坏了后人”，揭露了封建孝道的虚伪和残酷。</w:t>
            </w:r>
          </w:p>
        </w:tc>
      </w:tr>
      <w:tr w14:paraId="1BB65709">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3" w:hRule="atLeast"/>
        </w:trPr>
        <w:tc>
          <w:tcPr>
            <w:tcW w:w="1686" w:type="dxa"/>
            <w:gridSpan w:val="2"/>
            <w:tcBorders>
              <w:tl2br w:val="nil"/>
              <w:tr2bl w:val="nil"/>
            </w:tcBorders>
            <w:vAlign w:val="center"/>
          </w:tcPr>
          <w:p w14:paraId="668998D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《父亲的病》</w:t>
            </w:r>
          </w:p>
        </w:tc>
        <w:tc>
          <w:tcPr>
            <w:tcW w:w="1602" w:type="dxa"/>
            <w:gridSpan w:val="2"/>
            <w:tcBorders>
              <w:tl2br w:val="nil"/>
              <w:tr2bl w:val="nil"/>
            </w:tcBorders>
            <w:vAlign w:val="center"/>
          </w:tcPr>
          <w:p w14:paraId="62067FE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名医、陈莲河、药引、“蟋蟀一对”“平地木十株”、《高王经》</w:t>
            </w:r>
          </w:p>
        </w:tc>
        <w:tc>
          <w:tcPr>
            <w:tcW w:w="3952" w:type="dxa"/>
            <w:gridSpan w:val="2"/>
            <w:tcBorders>
              <w:tl2br w:val="nil"/>
              <w:tr2bl w:val="nil"/>
            </w:tcBorders>
            <w:vAlign w:val="center"/>
          </w:tcPr>
          <w:p w14:paraId="3953EB3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文章重点回忆少时为父亲求医治病的情景。父亲因得了水肿而求医，却被陈莲河等江湖庸医耽误去世，体现了江湖庸医的无能，他们明知道病已经没法治了，还故意蒙骗，开一些像“败鼓皮丸”之类的药，其实就是故弄玄虚，对治病只是忙于应付而草草了事，给人看病都只为了金钱。</w:t>
            </w:r>
          </w:p>
        </w:tc>
        <w:tc>
          <w:tcPr>
            <w:tcW w:w="2138" w:type="dxa"/>
            <w:tcBorders>
              <w:tl2br w:val="nil"/>
              <w:tr2bl w:val="nil"/>
            </w:tcBorders>
            <w:vAlign w:val="center"/>
          </w:tcPr>
          <w:p w14:paraId="2BB3474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作品批判庸医害人和对封建孝道的不认同。揭示了这些庸医故弄玄虚、勒索钱财、草菅人命的实质。</w:t>
            </w:r>
          </w:p>
        </w:tc>
      </w:tr>
    </w:tbl>
    <w:p w14:paraId="182EC8C8">
      <w:pPr>
        <w:tabs>
          <w:tab w:val="left" w:pos="4320"/>
        </w:tabs>
        <w:snapToGrid w:val="0"/>
        <w:spacing w:line="360" w:lineRule="auto"/>
        <w:ind w:left="210" w:leftChars="100" w:firstLine="210" w:firstLineChars="100"/>
        <w:rPr>
          <w:rFonts w:hint="eastAsia" w:ascii="宋体" w:hAnsi="宋体" w:eastAsia="宋体" w:cs="宋体"/>
          <w:color w:val="FF0000"/>
          <w:szCs w:val="21"/>
        </w:rPr>
      </w:pPr>
      <w:r>
        <w:rPr>
          <w:rFonts w:hint="eastAsia" w:ascii="宋体" w:hAnsi="宋体" w:eastAsia="宋体" w:cs="宋体"/>
          <w:color w:val="FF0000"/>
          <w:szCs w:val="21"/>
          <w:lang w:val="en-US" w:eastAsia="zh-CN"/>
        </w:rPr>
        <w:t xml:space="preserve">       </w:t>
      </w:r>
    </w:p>
    <w:p w14:paraId="17CA4368">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rPr>
        <w:t>★任务三：寻·鲁迅生活的“那些年”</w:t>
      </w:r>
    </w:p>
    <w:tbl>
      <w:tblPr>
        <w:tblStyle w:val="8"/>
        <w:tblW w:w="10119" w:type="dxa"/>
        <w:tblInd w:w="0"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116"/>
        <w:gridCol w:w="6990"/>
        <w:gridCol w:w="2013"/>
      </w:tblGrid>
      <w:tr w14:paraId="166FC9AF">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10119" w:type="dxa"/>
            <w:gridSpan w:val="3"/>
            <w:tcBorders>
              <w:tl2br w:val="nil"/>
              <w:tr2bl w:val="nil"/>
            </w:tcBorders>
            <w:vAlign w:val="center"/>
          </w:tcPr>
          <w:p w14:paraId="684E330B">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鲁迅成长史</w:t>
            </w:r>
          </w:p>
        </w:tc>
      </w:tr>
      <w:tr w14:paraId="6828BCB0">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1116" w:type="dxa"/>
            <w:tcBorders>
              <w:tl2br w:val="nil"/>
              <w:tr2bl w:val="nil"/>
            </w:tcBorders>
            <w:vAlign w:val="center"/>
          </w:tcPr>
          <w:p w14:paraId="1926C1D0">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时期</w:t>
            </w:r>
          </w:p>
        </w:tc>
        <w:tc>
          <w:tcPr>
            <w:tcW w:w="6990" w:type="dxa"/>
            <w:tcBorders>
              <w:tl2br w:val="nil"/>
              <w:tr2bl w:val="nil"/>
            </w:tcBorders>
            <w:vAlign w:val="center"/>
          </w:tcPr>
          <w:p w14:paraId="232840B3">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经历</w:t>
            </w:r>
          </w:p>
        </w:tc>
        <w:tc>
          <w:tcPr>
            <w:tcW w:w="2013" w:type="dxa"/>
            <w:tcBorders>
              <w:tl2br w:val="nil"/>
              <w:tr2bl w:val="nil"/>
            </w:tcBorders>
            <w:vAlign w:val="center"/>
          </w:tcPr>
          <w:p w14:paraId="30F4D066">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总结</w:t>
            </w:r>
          </w:p>
        </w:tc>
      </w:tr>
      <w:tr w14:paraId="74BE1B9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1116" w:type="dxa"/>
            <w:tcBorders>
              <w:tl2br w:val="nil"/>
              <w:tr2bl w:val="nil"/>
            </w:tcBorders>
            <w:vAlign w:val="center"/>
          </w:tcPr>
          <w:p w14:paraId="0A96EBF5">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童年</w:t>
            </w:r>
          </w:p>
        </w:tc>
        <w:tc>
          <w:tcPr>
            <w:tcW w:w="6990" w:type="dxa"/>
            <w:tcBorders>
              <w:tl2br w:val="nil"/>
              <w:tr2bl w:val="nil"/>
            </w:tcBorders>
          </w:tcPr>
          <w:p w14:paraId="442C8E0B">
            <w:pPr>
              <w:tabs>
                <w:tab w:val="left" w:pos="4320"/>
              </w:tabs>
              <w:snapToGrid w:val="0"/>
              <w:spacing w:line="360" w:lineRule="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祖母在夏日的夜晚摇着扇子给他猜谜、讲故事;长妈妈给他讲“美女蛇”“长毛”的故事;闰土的父亲教他在冬日捕鸟。平日里，他经常到百草园玩,那里是他的童年乐园;他还有一只可爱的隐鼠陪伴左右:过年时他可以从长辈那里得到压岁钱,买小鼓，刀枪,泥人,糖菩萨……</w:t>
            </w:r>
          </w:p>
        </w:tc>
        <w:tc>
          <w:tcPr>
            <w:tcW w:w="2013" w:type="dxa"/>
            <w:tcBorders>
              <w:tl2br w:val="nil"/>
              <w:tr2bl w:val="nil"/>
            </w:tcBorders>
            <w:vAlign w:val="center"/>
          </w:tcPr>
          <w:p w14:paraId="58ABFD09">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丰富多彩</w:t>
            </w:r>
          </w:p>
          <w:p w14:paraId="5374754D">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温馨有趣</w:t>
            </w:r>
          </w:p>
        </w:tc>
      </w:tr>
      <w:tr w14:paraId="6A7F01A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1116" w:type="dxa"/>
            <w:tcBorders>
              <w:tl2br w:val="nil"/>
              <w:tr2bl w:val="nil"/>
            </w:tcBorders>
            <w:vAlign w:val="center"/>
          </w:tcPr>
          <w:p w14:paraId="14AE3103">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少年</w:t>
            </w:r>
          </w:p>
        </w:tc>
        <w:tc>
          <w:tcPr>
            <w:tcW w:w="6990" w:type="dxa"/>
            <w:tcBorders>
              <w:tl2br w:val="nil"/>
              <w:tr2bl w:val="nil"/>
            </w:tcBorders>
          </w:tcPr>
          <w:p w14:paraId="351E1162">
            <w:pPr>
              <w:tabs>
                <w:tab w:val="left" w:pos="4320"/>
              </w:tabs>
              <w:snapToGrid w:val="0"/>
              <w:spacing w:line="360" w:lineRule="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常年在家和当铺、药铺之间穿梭,寻找“名医”开出的各种奇特的药引,然而父亲的病却日益恶化,最终父亲去世。父亲临终前,他听从衍太太的教唆不停地大声喊父亲,导致父亲痛苦地离去，这给他留下了永远的遗憾。种种变故如大山一样压在他的身上，他不得不走出家门前往外面的世界……</w:t>
            </w:r>
          </w:p>
        </w:tc>
        <w:tc>
          <w:tcPr>
            <w:tcW w:w="2013" w:type="dxa"/>
            <w:tcBorders>
              <w:tl2br w:val="nil"/>
              <w:tr2bl w:val="nil"/>
            </w:tcBorders>
            <w:vAlign w:val="center"/>
          </w:tcPr>
          <w:p w14:paraId="3E1188D1">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苦涩而</w:t>
            </w:r>
          </w:p>
          <w:p w14:paraId="72009978">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又迷茫</w:t>
            </w:r>
          </w:p>
        </w:tc>
      </w:tr>
      <w:tr w14:paraId="7D6C9CDF">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1116" w:type="dxa"/>
            <w:tcBorders>
              <w:tl2br w:val="nil"/>
              <w:tr2bl w:val="nil"/>
            </w:tcBorders>
            <w:vAlign w:val="center"/>
          </w:tcPr>
          <w:p w14:paraId="3086D5F3">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青年</w:t>
            </w:r>
          </w:p>
        </w:tc>
        <w:tc>
          <w:tcPr>
            <w:tcW w:w="6990" w:type="dxa"/>
            <w:tcBorders>
              <w:tl2br w:val="nil"/>
              <w:tr2bl w:val="nil"/>
            </w:tcBorders>
          </w:tcPr>
          <w:p w14:paraId="6E37B5AA">
            <w:pPr>
              <w:tabs>
                <w:tab w:val="left" w:pos="4320"/>
              </w:tabs>
              <w:snapToGrid w:val="0"/>
              <w:spacing w:line="360" w:lineRule="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在矿路学堂,他接触到《天演论》等进步书籍,了解到新的思想。在日本学医期间，“讲义事件”和“幻灯片事件”对他触动极大,他意识到学医只能医治人们病痛的身体,而只有唤醒人们麻木的灵魂才能真正救人,因此他走上了文学之路;在东京时,他还认识了范爱农，在回忆与范爱农的交往中，穿插了自己被打着进步旗号的青年利用的事,让人唏嘘。另外,这时期的鲁迅也表达了对所谓的“正人君子”的深恶痛绝,还有对反对和妨害白话者的痛恨……</w:t>
            </w:r>
          </w:p>
        </w:tc>
        <w:tc>
          <w:tcPr>
            <w:tcW w:w="2013" w:type="dxa"/>
            <w:tcBorders>
              <w:tl2br w:val="nil"/>
              <w:tr2bl w:val="nil"/>
            </w:tcBorders>
            <w:vAlign w:val="center"/>
          </w:tcPr>
          <w:p w14:paraId="171CA6BD">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是新鲜的，也是屈辱的，更是励志的</w:t>
            </w:r>
          </w:p>
        </w:tc>
      </w:tr>
    </w:tbl>
    <w:p w14:paraId="398FCF33">
      <w:pPr>
        <w:tabs>
          <w:tab w:val="left" w:pos="4320"/>
        </w:tabs>
        <w:snapToGrid w:val="0"/>
        <w:spacing w:line="360" w:lineRule="auto"/>
        <w:ind w:firstLine="420" w:firstLineChars="200"/>
        <w:rPr>
          <w:rFonts w:hint="eastAsia" w:ascii="宋体" w:hAnsi="宋体" w:eastAsia="宋体" w:cs="宋体"/>
          <w:color w:val="FF0000"/>
          <w:szCs w:val="21"/>
          <w:lang w:val="en-US" w:eastAsia="zh-CN"/>
        </w:rPr>
      </w:pPr>
    </w:p>
    <w:p w14:paraId="3A23612B">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任务四：识·鲁迅笔下的“那些人”</w:t>
      </w:r>
    </w:p>
    <w:tbl>
      <w:tblPr>
        <w:tblStyle w:val="8"/>
        <w:tblW w:w="0" w:type="auto"/>
        <w:tblInd w:w="154"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560"/>
        <w:gridCol w:w="1060"/>
        <w:gridCol w:w="917"/>
        <w:gridCol w:w="4164"/>
        <w:gridCol w:w="2107"/>
      </w:tblGrid>
      <w:tr w14:paraId="1150D89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29" w:hRule="atLeast"/>
        </w:trPr>
        <w:tc>
          <w:tcPr>
            <w:tcW w:w="1560" w:type="dxa"/>
            <w:tcBorders>
              <w:tl2br w:val="nil"/>
              <w:tr2bl w:val="nil"/>
            </w:tcBorders>
            <w:vAlign w:val="center"/>
          </w:tcPr>
          <w:p w14:paraId="710F925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人物</w:t>
            </w:r>
          </w:p>
        </w:tc>
        <w:tc>
          <w:tcPr>
            <w:tcW w:w="1060" w:type="dxa"/>
            <w:tcBorders>
              <w:tl2br w:val="nil"/>
              <w:tr2bl w:val="nil"/>
            </w:tcBorders>
            <w:vAlign w:val="center"/>
          </w:tcPr>
          <w:p w14:paraId="095482B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出处</w:t>
            </w:r>
          </w:p>
        </w:tc>
        <w:tc>
          <w:tcPr>
            <w:tcW w:w="917" w:type="dxa"/>
            <w:tcBorders>
              <w:tl2br w:val="nil"/>
              <w:tr2bl w:val="nil"/>
            </w:tcBorders>
            <w:vAlign w:val="center"/>
          </w:tcPr>
          <w:p w14:paraId="582F6BC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关系</w:t>
            </w:r>
          </w:p>
        </w:tc>
        <w:tc>
          <w:tcPr>
            <w:tcW w:w="4164" w:type="dxa"/>
            <w:tcBorders>
              <w:tl2br w:val="nil"/>
              <w:tr2bl w:val="nil"/>
            </w:tcBorders>
            <w:vAlign w:val="center"/>
          </w:tcPr>
          <w:p w14:paraId="557B831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典型情节及人物形象</w:t>
            </w:r>
          </w:p>
        </w:tc>
        <w:tc>
          <w:tcPr>
            <w:tcW w:w="2107" w:type="dxa"/>
            <w:tcBorders>
              <w:tl2br w:val="nil"/>
              <w:tr2bl w:val="nil"/>
            </w:tcBorders>
            <w:vAlign w:val="center"/>
          </w:tcPr>
          <w:p w14:paraId="36BE64A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作者态度</w:t>
            </w:r>
          </w:p>
        </w:tc>
      </w:tr>
      <w:tr w14:paraId="6CDAB2A5">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29" w:hRule="atLeast"/>
        </w:trPr>
        <w:tc>
          <w:tcPr>
            <w:tcW w:w="1560" w:type="dxa"/>
            <w:tcBorders>
              <w:tl2br w:val="nil"/>
              <w:tr2bl w:val="nil"/>
            </w:tcBorders>
            <w:vAlign w:val="center"/>
          </w:tcPr>
          <w:p w14:paraId="2EB0516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color w:val="FF0000"/>
              </w:rPr>
            </w:pPr>
            <w:r>
              <w:rPr>
                <w:color w:val="FF0000"/>
              </w:rPr>
              <w:drawing>
                <wp:inline distT="0" distB="0" distL="114300" distR="114300">
                  <wp:extent cx="774700" cy="891540"/>
                  <wp:effectExtent l="0" t="0" r="0" b="7620"/>
                  <wp:docPr id="245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6" name="图片 2"/>
                          <pic:cNvPicPr>
                            <a:picLocks noChangeAspect="1" noChangeArrowheads="1"/>
                          </pic:cNvPicPr>
                        </pic:nvPicPr>
                        <pic:blipFill>
                          <a:blip r:embed="rId12">
                            <a:clrChange>
                              <a:clrFrom>
                                <a:srgbClr val="FFFFFF">
                                  <a:alpha val="100000"/>
                                </a:srgbClr>
                              </a:clrFrom>
                              <a:clrTo>
                                <a:srgbClr val="FFFFFF">
                                  <a:alpha val="100000"/>
                                  <a:alpha val="0"/>
                                </a:srgbClr>
                              </a:clrTo>
                            </a:clrChange>
                            <a:extLst>
                              <a:ext uri="{28A0092B-C50C-407E-A947-70E740481C1C}">
                                <a14:useLocalDpi xmlns:a14="http://schemas.microsoft.com/office/drawing/2010/main" val="0"/>
                              </a:ext>
                            </a:extLst>
                          </a:blip>
                          <a:stretch>
                            <a:fillRect/>
                          </a:stretch>
                        </pic:blipFill>
                        <pic:spPr>
                          <a:xfrm>
                            <a:off x="0" y="0"/>
                            <a:ext cx="774700" cy="891540"/>
                          </a:xfrm>
                          <a:prstGeom prst="rect">
                            <a:avLst/>
                          </a:prstGeom>
                          <a:noFill/>
                          <a:ln>
                            <a:noFill/>
                          </a:ln>
                        </pic:spPr>
                      </pic:pic>
                    </a:graphicData>
                  </a:graphic>
                </wp:inline>
              </w:drawing>
            </w:r>
          </w:p>
          <w:p w14:paraId="7A12B36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color w:val="FF0000"/>
                <w:lang w:val="en-US" w:eastAsia="zh-CN"/>
              </w:rPr>
            </w:pPr>
            <w:r>
              <w:rPr>
                <w:rFonts w:hint="eastAsia" w:ascii="宋体" w:hAnsi="宋体" w:eastAsia="宋体" w:cs="宋体"/>
                <w:color w:val="FF0000"/>
                <w:lang w:val="en-US" w:eastAsia="zh-CN"/>
              </w:rPr>
              <w:t>长妈妈</w:t>
            </w:r>
          </w:p>
        </w:tc>
        <w:tc>
          <w:tcPr>
            <w:tcW w:w="1060" w:type="dxa"/>
            <w:tcBorders>
              <w:tl2br w:val="nil"/>
              <w:tr2bl w:val="nil"/>
            </w:tcBorders>
            <w:vAlign w:val="center"/>
          </w:tcPr>
          <w:p w14:paraId="125C251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《阿长与〈山海经〉》</w:t>
            </w:r>
          </w:p>
          <w:p w14:paraId="0994E84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《从百草园到三味书屋》</w:t>
            </w:r>
          </w:p>
        </w:tc>
        <w:tc>
          <w:tcPr>
            <w:tcW w:w="917" w:type="dxa"/>
            <w:tcBorders>
              <w:tl2br w:val="nil"/>
              <w:tr2bl w:val="nil"/>
            </w:tcBorders>
            <w:vAlign w:val="center"/>
          </w:tcPr>
          <w:p w14:paraId="27AEABE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“我”的保姆</w:t>
            </w:r>
          </w:p>
        </w:tc>
        <w:tc>
          <w:tcPr>
            <w:tcW w:w="4164" w:type="dxa"/>
            <w:tcBorders>
              <w:tl2br w:val="nil"/>
              <w:tr2bl w:val="nil"/>
            </w:tcBorders>
            <w:vAlign w:val="center"/>
          </w:tcPr>
          <w:p w14:paraId="4E16A63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①喜欢切切察察，在床上摆“大”字，给“我”讲长毛的故事。(《阿长与〈山海经〉》)——愚昧无知、不拘小节</w:t>
            </w:r>
          </w:p>
          <w:p w14:paraId="5853F6F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②农历正月初一要吃福橘，人死了要说“老掉了”。(《阿长与〈山海经〉》)——迷信、唠叨</w:t>
            </w:r>
          </w:p>
          <w:p w14:paraId="7CF8C3C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③给“我”买带图的《山海经》。(《阿长与〈山海经〉》)——朴实善良、仁厚慈爱</w:t>
            </w:r>
          </w:p>
          <w:p w14:paraId="77A3F69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④给“我”讲“美女蛇”的故事。(《从百草园到三味书屋》)——关爱孩子</w:t>
            </w:r>
          </w:p>
        </w:tc>
        <w:tc>
          <w:tcPr>
            <w:tcW w:w="2107" w:type="dxa"/>
            <w:tcBorders>
              <w:tl2br w:val="nil"/>
              <w:tr2bl w:val="nil"/>
            </w:tcBorders>
            <w:vAlign w:val="center"/>
          </w:tcPr>
          <w:p w14:paraId="2FE0815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成年鲁迅对她始终充满深切的怀念，是成年鲁迅生活中温馨的回忆。</w:t>
            </w:r>
          </w:p>
        </w:tc>
      </w:tr>
      <w:tr w14:paraId="4CCECF45">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2" w:hRule="atLeast"/>
        </w:trPr>
        <w:tc>
          <w:tcPr>
            <w:tcW w:w="1560" w:type="dxa"/>
            <w:tcBorders>
              <w:tl2br w:val="nil"/>
              <w:tr2bl w:val="nil"/>
            </w:tcBorders>
            <w:vAlign w:val="center"/>
          </w:tcPr>
          <w:p w14:paraId="1BFEFDB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rPr>
            </w:pPr>
            <w:r>
              <w:rPr>
                <w:rFonts w:hint="eastAsia" w:ascii="宋体" w:hAnsi="宋体" w:eastAsia="宋体" w:cs="宋体"/>
                <w:color w:val="FF0000"/>
              </w:rPr>
              <w:drawing>
                <wp:inline distT="0" distB="0" distL="114300" distR="114300">
                  <wp:extent cx="619760" cy="982980"/>
                  <wp:effectExtent l="0" t="0" r="5080" b="7620"/>
                  <wp:docPr id="101" name="图片 100"/>
                  <wp:cNvGraphicFramePr/>
                  <a:graphic xmlns:a="http://schemas.openxmlformats.org/drawingml/2006/main">
                    <a:graphicData uri="http://schemas.openxmlformats.org/drawingml/2006/picture">
                      <pic:pic xmlns:pic="http://schemas.openxmlformats.org/drawingml/2006/picture">
                        <pic:nvPicPr>
                          <pic:cNvPr id="101" name="图片 100"/>
                          <pic:cNvPicPr/>
                        </pic:nvPicPr>
                        <pic:blipFill>
                          <a:blip r:embed="rId13"/>
                          <a:stretch>
                            <a:fillRect/>
                          </a:stretch>
                        </pic:blipFill>
                        <pic:spPr>
                          <a:xfrm>
                            <a:off x="0" y="0"/>
                            <a:ext cx="619760" cy="982980"/>
                          </a:xfrm>
                          <a:prstGeom prst="rect">
                            <a:avLst/>
                          </a:prstGeom>
                          <a:noFill/>
                          <a:ln w="9525">
                            <a:noFill/>
                          </a:ln>
                        </pic:spPr>
                      </pic:pic>
                    </a:graphicData>
                  </a:graphic>
                </wp:inline>
              </w:drawing>
            </w:r>
          </w:p>
          <w:p w14:paraId="16B24CF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lang w:val="en-US" w:eastAsia="zh-CN"/>
              </w:rPr>
            </w:pPr>
            <w:r>
              <w:rPr>
                <w:rFonts w:hint="eastAsia" w:ascii="宋体" w:hAnsi="宋体" w:eastAsia="宋体" w:cs="宋体"/>
                <w:color w:val="FF0000"/>
                <w:lang w:val="en-US" w:eastAsia="zh-CN"/>
              </w:rPr>
              <w:t>寿镜吾</w:t>
            </w:r>
          </w:p>
        </w:tc>
        <w:tc>
          <w:tcPr>
            <w:tcW w:w="1060" w:type="dxa"/>
            <w:tcBorders>
              <w:tl2br w:val="nil"/>
              <w:tr2bl w:val="nil"/>
            </w:tcBorders>
            <w:vAlign w:val="center"/>
          </w:tcPr>
          <w:p w14:paraId="579EA83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《从百草园到三味书屋》</w:t>
            </w:r>
          </w:p>
        </w:tc>
        <w:tc>
          <w:tcPr>
            <w:tcW w:w="917" w:type="dxa"/>
            <w:tcBorders>
              <w:tl2br w:val="nil"/>
              <w:tr2bl w:val="nil"/>
            </w:tcBorders>
            <w:vAlign w:val="center"/>
          </w:tcPr>
          <w:p w14:paraId="504265D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“我”儿时的老师</w:t>
            </w:r>
          </w:p>
        </w:tc>
        <w:tc>
          <w:tcPr>
            <w:tcW w:w="4164" w:type="dxa"/>
            <w:tcBorders>
              <w:tl2br w:val="nil"/>
              <w:tr2bl w:val="nil"/>
            </w:tcBorders>
            <w:vAlign w:val="center"/>
          </w:tcPr>
          <w:p w14:paraId="0102119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①“我”向他询问“怪哉”虫的事情时脸有怒色。——略有古板、迂腐</w:t>
            </w:r>
          </w:p>
          <w:p w14:paraId="1EBD5CC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②循序渐进地教“我”读书；对待学生和蔼答礼，戒尺和罚跪的规则都不常用。——博学、宽容、淳朴、亲切</w:t>
            </w:r>
          </w:p>
        </w:tc>
        <w:tc>
          <w:tcPr>
            <w:tcW w:w="2107" w:type="dxa"/>
            <w:tcBorders>
              <w:tl2br w:val="nil"/>
              <w:tr2bl w:val="nil"/>
            </w:tcBorders>
            <w:vAlign w:val="center"/>
          </w:tcPr>
          <w:p w14:paraId="7139FF3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寿镜吾老先生在童年鲁迅和成年鲁迅的心目中都是值得怀想尊敬的。</w:t>
            </w:r>
          </w:p>
        </w:tc>
      </w:tr>
      <w:tr w14:paraId="4AD15FF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2" w:hRule="atLeast"/>
        </w:trPr>
        <w:tc>
          <w:tcPr>
            <w:tcW w:w="1560" w:type="dxa"/>
            <w:tcBorders>
              <w:tl2br w:val="nil"/>
              <w:tr2bl w:val="nil"/>
            </w:tcBorders>
            <w:vAlign w:val="center"/>
          </w:tcPr>
          <w:p w14:paraId="211A505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color w:val="FF0000"/>
              </w:rPr>
            </w:pPr>
            <w:r>
              <w:rPr>
                <w:color w:val="FF0000"/>
              </w:rPr>
              <w:drawing>
                <wp:inline distT="0" distB="0" distL="114300" distR="114300">
                  <wp:extent cx="637540" cy="812800"/>
                  <wp:effectExtent l="0" t="0" r="2540" b="10160"/>
                  <wp:docPr id="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5"/>
                          <pic:cNvPicPr>
                            <a:picLocks noChangeAspect="1"/>
                          </pic:cNvPicPr>
                        </pic:nvPicPr>
                        <pic:blipFill>
                          <a:blip r:embed="rId14"/>
                          <a:stretch>
                            <a:fillRect/>
                          </a:stretch>
                        </pic:blipFill>
                        <pic:spPr>
                          <a:xfrm>
                            <a:off x="0" y="0"/>
                            <a:ext cx="637540" cy="812800"/>
                          </a:xfrm>
                          <a:prstGeom prst="rect">
                            <a:avLst/>
                          </a:prstGeom>
                        </pic:spPr>
                      </pic:pic>
                    </a:graphicData>
                  </a:graphic>
                </wp:inline>
              </w:drawing>
            </w:r>
          </w:p>
          <w:p w14:paraId="682B52D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color w:val="FF0000"/>
              </w:rPr>
            </w:pPr>
            <w:r>
              <w:rPr>
                <w:rFonts w:hint="eastAsia" w:ascii="宋体" w:hAnsi="宋体" w:eastAsia="宋体" w:cs="宋体"/>
                <w:color w:val="FF0000"/>
              </w:rPr>
              <w:t>藤野先生</w:t>
            </w:r>
          </w:p>
        </w:tc>
        <w:tc>
          <w:tcPr>
            <w:tcW w:w="1060" w:type="dxa"/>
            <w:tcBorders>
              <w:tl2br w:val="nil"/>
              <w:tr2bl w:val="nil"/>
            </w:tcBorders>
            <w:vAlign w:val="center"/>
          </w:tcPr>
          <w:p w14:paraId="7365959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《藤野先生》</w:t>
            </w:r>
          </w:p>
        </w:tc>
        <w:tc>
          <w:tcPr>
            <w:tcW w:w="917" w:type="dxa"/>
            <w:tcBorders>
              <w:tl2br w:val="nil"/>
              <w:tr2bl w:val="nil"/>
            </w:tcBorders>
            <w:vAlign w:val="center"/>
          </w:tcPr>
          <w:p w14:paraId="3E14FA5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“我”儿时的老师</w:t>
            </w:r>
          </w:p>
        </w:tc>
        <w:tc>
          <w:tcPr>
            <w:tcW w:w="4164" w:type="dxa"/>
            <w:tcBorders>
              <w:tl2br w:val="nil"/>
              <w:tr2bl w:val="nil"/>
            </w:tcBorders>
            <w:vAlign w:val="center"/>
          </w:tcPr>
          <w:p w14:paraId="03DF705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①衣着简朴，有时会忘戴领结。——勤俭、不拘小节</w:t>
            </w:r>
          </w:p>
          <w:p w14:paraId="236BF64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②添改“我”的讲义。——关心学生、认真负责</w:t>
            </w:r>
          </w:p>
          <w:p w14:paraId="34C6F60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③纠正“我”的解剖图。——治学严谨、一丝不苟</w:t>
            </w:r>
          </w:p>
          <w:p w14:paraId="38DDA77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④关心“我”的解剖试验。——尊重不同文化、没有民族偏见</w:t>
            </w:r>
          </w:p>
          <w:p w14:paraId="5EA0CD9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⑤了解中国女人的裹脚情况。——认真求实、注重调查</w:t>
            </w:r>
          </w:p>
        </w:tc>
        <w:tc>
          <w:tcPr>
            <w:tcW w:w="2107" w:type="dxa"/>
            <w:tcBorders>
              <w:tl2br w:val="nil"/>
              <w:tr2bl w:val="nil"/>
            </w:tcBorders>
            <w:vAlign w:val="center"/>
          </w:tcPr>
          <w:p w14:paraId="7FAA7DF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从相关事件中看出作者对藤野先生无言的感激与怀念。</w:t>
            </w:r>
          </w:p>
        </w:tc>
      </w:tr>
      <w:tr w14:paraId="5BEBE1F2">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2" w:hRule="atLeast"/>
        </w:trPr>
        <w:tc>
          <w:tcPr>
            <w:tcW w:w="1560" w:type="dxa"/>
            <w:tcBorders>
              <w:tl2br w:val="nil"/>
              <w:tr2bl w:val="nil"/>
            </w:tcBorders>
            <w:vAlign w:val="center"/>
          </w:tcPr>
          <w:p w14:paraId="38B892E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color w:val="FF0000"/>
              </w:rPr>
            </w:pPr>
            <w:r>
              <w:rPr>
                <w:color w:val="FF0000"/>
              </w:rPr>
              <w:drawing>
                <wp:inline distT="0" distB="0" distL="114300" distR="114300">
                  <wp:extent cx="645160" cy="822960"/>
                  <wp:effectExtent l="0" t="0" r="10160" b="0"/>
                  <wp:docPr id="100" name="图片 99"/>
                  <wp:cNvGraphicFramePr/>
                  <a:graphic xmlns:a="http://schemas.openxmlformats.org/drawingml/2006/main">
                    <a:graphicData uri="http://schemas.openxmlformats.org/drawingml/2006/picture">
                      <pic:pic xmlns:pic="http://schemas.openxmlformats.org/drawingml/2006/picture">
                        <pic:nvPicPr>
                          <pic:cNvPr id="100" name="图片 99"/>
                          <pic:cNvPicPr/>
                        </pic:nvPicPr>
                        <pic:blipFill>
                          <a:blip r:embed="rId15"/>
                          <a:srcRect l="50676" t="7714" r="8990" b="60874"/>
                          <a:stretch>
                            <a:fillRect/>
                          </a:stretch>
                        </pic:blipFill>
                        <pic:spPr>
                          <a:xfrm>
                            <a:off x="0" y="0"/>
                            <a:ext cx="645160" cy="822960"/>
                          </a:xfrm>
                          <a:prstGeom prst="rect">
                            <a:avLst/>
                          </a:prstGeom>
                          <a:noFill/>
                          <a:ln w="9525">
                            <a:noFill/>
                          </a:ln>
                        </pic:spPr>
                      </pic:pic>
                    </a:graphicData>
                  </a:graphic>
                </wp:inline>
              </w:drawing>
            </w:r>
          </w:p>
          <w:p w14:paraId="587E0FA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color w:val="FF0000"/>
              </w:rPr>
            </w:pPr>
            <w:r>
              <w:rPr>
                <w:rFonts w:hint="eastAsia" w:ascii="宋体" w:hAnsi="宋体" w:eastAsia="宋体" w:cs="宋体"/>
                <w:color w:val="FF0000"/>
              </w:rPr>
              <w:t>范爱农</w:t>
            </w:r>
          </w:p>
        </w:tc>
        <w:tc>
          <w:tcPr>
            <w:tcW w:w="1060" w:type="dxa"/>
            <w:tcBorders>
              <w:tl2br w:val="nil"/>
              <w:tr2bl w:val="nil"/>
            </w:tcBorders>
            <w:vAlign w:val="center"/>
          </w:tcPr>
          <w:p w14:paraId="68DB963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《范爱农》</w:t>
            </w:r>
          </w:p>
        </w:tc>
        <w:tc>
          <w:tcPr>
            <w:tcW w:w="917" w:type="dxa"/>
            <w:tcBorders>
              <w:tl2br w:val="nil"/>
              <w:tr2bl w:val="nil"/>
            </w:tcBorders>
            <w:vAlign w:val="center"/>
          </w:tcPr>
          <w:p w14:paraId="1642D99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“我”的同乡</w:t>
            </w:r>
          </w:p>
        </w:tc>
        <w:tc>
          <w:tcPr>
            <w:tcW w:w="4164" w:type="dxa"/>
            <w:tcBorders>
              <w:tl2br w:val="nil"/>
              <w:tr2bl w:val="nil"/>
            </w:tcBorders>
            <w:vAlign w:val="center"/>
          </w:tcPr>
          <w:p w14:paraId="6D50F77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①绣花鞋事件，让座风波。——自尊心强、重情义</w:t>
            </w:r>
          </w:p>
          <w:p w14:paraId="23F9092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②拍发电报，看光复的绍兴。——倔强耿直、愤世嫉俗</w:t>
            </w:r>
          </w:p>
          <w:p w14:paraId="1ABF400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③当监学兼教书时很勤快。——追求进步、负责</w:t>
            </w:r>
          </w:p>
        </w:tc>
        <w:tc>
          <w:tcPr>
            <w:tcW w:w="2107" w:type="dxa"/>
            <w:tcBorders>
              <w:tl2br w:val="nil"/>
              <w:tr2bl w:val="nil"/>
            </w:tcBorders>
            <w:vAlign w:val="center"/>
          </w:tcPr>
          <w:p w14:paraId="1E782C7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曾经互看不顺眼，后又成为志同道合的好友，对于他的不幸溺亡，鲁迅深觉悲痛和惋惜，同时也表达了对旧民主革命不彻底的批判。</w:t>
            </w:r>
          </w:p>
        </w:tc>
      </w:tr>
      <w:tr w14:paraId="0E64001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2" w:hRule="atLeast"/>
        </w:trPr>
        <w:tc>
          <w:tcPr>
            <w:tcW w:w="1560" w:type="dxa"/>
            <w:tcBorders>
              <w:tl2br w:val="nil"/>
              <w:tr2bl w:val="nil"/>
            </w:tcBorders>
            <w:vAlign w:val="center"/>
          </w:tcPr>
          <w:p w14:paraId="640CBB8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rPr>
            </w:pPr>
            <w:r>
              <w:rPr>
                <w:rFonts w:hint="eastAsia" w:ascii="宋体" w:hAnsi="宋体" w:eastAsia="宋体" w:cs="宋体"/>
                <w:color w:val="FF0000"/>
              </w:rPr>
              <w:drawing>
                <wp:inline distT="0" distB="0" distL="114300" distR="114300">
                  <wp:extent cx="702945" cy="1271270"/>
                  <wp:effectExtent l="0" t="0" r="13335" b="8890"/>
                  <wp:docPr id="276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4" name="图片 11"/>
                          <pic:cNvPicPr>
                            <a:picLocks noChangeAspect="1" noChangeArrowheads="1"/>
                          </pic:cNvPicPr>
                        </pic:nvPicPr>
                        <pic:blipFill>
                          <a:blip r:embed="rId16">
                            <a:clrChange>
                              <a:clrFrom>
                                <a:srgbClr val="FFFFFF">
                                  <a:alpha val="100000"/>
                                </a:srgbClr>
                              </a:clrFrom>
                              <a:clrTo>
                                <a:srgbClr val="FFFFFF">
                                  <a:alpha val="100000"/>
                                  <a:alpha val="0"/>
                                </a:srgbClr>
                              </a:clrTo>
                            </a:clrChange>
                            <a:extLst>
                              <a:ext uri="{28A0092B-C50C-407E-A947-70E740481C1C}">
                                <a14:useLocalDpi xmlns:a14="http://schemas.microsoft.com/office/drawing/2010/main" val="0"/>
                              </a:ext>
                            </a:extLst>
                          </a:blip>
                          <a:srcRect r="44752" b="-1078"/>
                          <a:stretch>
                            <a:fillRect/>
                          </a:stretch>
                        </pic:blipFill>
                        <pic:spPr>
                          <a:xfrm>
                            <a:off x="0" y="0"/>
                            <a:ext cx="702945" cy="1271270"/>
                          </a:xfrm>
                          <a:prstGeom prst="rect">
                            <a:avLst/>
                          </a:prstGeom>
                          <a:noFill/>
                          <a:ln>
                            <a:noFill/>
                          </a:ln>
                        </pic:spPr>
                      </pic:pic>
                    </a:graphicData>
                  </a:graphic>
                </wp:inline>
              </w:drawing>
            </w:r>
          </w:p>
          <w:p w14:paraId="21A85B1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rPr>
            </w:pPr>
            <w:r>
              <w:rPr>
                <w:rFonts w:hint="eastAsia" w:ascii="宋体" w:hAnsi="宋体" w:eastAsia="宋体" w:cs="宋体"/>
                <w:color w:val="FF0000"/>
              </w:rPr>
              <w:t>衍太太</w:t>
            </w:r>
          </w:p>
        </w:tc>
        <w:tc>
          <w:tcPr>
            <w:tcW w:w="1060" w:type="dxa"/>
            <w:tcBorders>
              <w:tl2br w:val="nil"/>
              <w:tr2bl w:val="nil"/>
            </w:tcBorders>
            <w:vAlign w:val="center"/>
          </w:tcPr>
          <w:p w14:paraId="529DF7B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《琐记》《父亲的病》</w:t>
            </w:r>
          </w:p>
        </w:tc>
        <w:tc>
          <w:tcPr>
            <w:tcW w:w="917" w:type="dxa"/>
            <w:tcBorders>
              <w:tl2br w:val="nil"/>
              <w:tr2bl w:val="nil"/>
            </w:tcBorders>
            <w:vAlign w:val="center"/>
          </w:tcPr>
          <w:p w14:paraId="2353107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“我”的邻居</w:t>
            </w:r>
          </w:p>
          <w:p w14:paraId="068E516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p>
        </w:tc>
        <w:tc>
          <w:tcPr>
            <w:tcW w:w="4164" w:type="dxa"/>
            <w:tcBorders>
              <w:tl2br w:val="nil"/>
              <w:tr2bl w:val="nil"/>
            </w:tcBorders>
            <w:vAlign w:val="center"/>
          </w:tcPr>
          <w:p w14:paraId="68097AF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①挑唆“我”偷母亲的首饰卖钱并散布谣言(《琐记》)；催促“我”在父亲弥留之际呼喊，让父亲不能安心离世(《父亲的病》)。——多嘴多舌、心术不正</w:t>
            </w:r>
          </w:p>
          <w:p w14:paraId="51FBA14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②鼓励孩子吃冰、打旋子，怂恿“我”看不健康的书籍，对自己的孩子却要求严格。(《琐记》)——自私虚伪、表里不一</w:t>
            </w:r>
          </w:p>
          <w:p w14:paraId="20F0B0E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p>
        </w:tc>
        <w:tc>
          <w:tcPr>
            <w:tcW w:w="2107" w:type="dxa"/>
            <w:tcBorders>
              <w:tl2br w:val="nil"/>
              <w:tr2bl w:val="nil"/>
            </w:tcBorders>
            <w:vAlign w:val="center"/>
          </w:tcPr>
          <w:p w14:paraId="15B5F38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少年时期曾被衍太太和蔼可亲的表面所迷惑，成年后对其充满鄙夷，并借此批判这种处心积虑陷害别人，将他人置于水深火热之中的“精神废料”。</w:t>
            </w:r>
          </w:p>
        </w:tc>
      </w:tr>
      <w:tr w14:paraId="2B1CE26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2" w:hRule="atLeast"/>
        </w:trPr>
        <w:tc>
          <w:tcPr>
            <w:tcW w:w="1560" w:type="dxa"/>
            <w:tcBorders>
              <w:tl2br w:val="nil"/>
              <w:tr2bl w:val="nil"/>
            </w:tcBorders>
            <w:vAlign w:val="center"/>
          </w:tcPr>
          <w:p w14:paraId="4CF8490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rPr>
            </w:pPr>
            <w:r>
              <w:rPr>
                <w:rFonts w:hint="eastAsia" w:ascii="宋体" w:hAnsi="宋体" w:eastAsia="宋体" w:cs="宋体"/>
                <w:color w:val="FF0000"/>
              </w:rPr>
              <w:drawing>
                <wp:inline distT="0" distB="0" distL="114300" distR="114300">
                  <wp:extent cx="658495" cy="757555"/>
                  <wp:effectExtent l="0" t="0" r="0" b="4445"/>
                  <wp:docPr id="297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6" name="图片 11"/>
                          <pic:cNvPicPr>
                            <a:picLocks noChangeAspect="1" noChangeArrowheads="1"/>
                          </pic:cNvPicPr>
                        </pic:nvPicPr>
                        <pic:blipFill>
                          <a:blip r:embed="rId17">
                            <a:clrChange>
                              <a:clrFrom>
                                <a:srgbClr val="FFFFFF">
                                  <a:alpha val="100000"/>
                                </a:srgbClr>
                              </a:clrFrom>
                              <a:clrTo>
                                <a:srgbClr val="FFFFFF">
                                  <a:alpha val="100000"/>
                                  <a:alpha val="0"/>
                                </a:srgbClr>
                              </a:clrTo>
                            </a:clrChange>
                            <a:extLst>
                              <a:ext uri="{28A0092B-C50C-407E-A947-70E740481C1C}">
                                <a14:useLocalDpi xmlns:a14="http://schemas.microsoft.com/office/drawing/2010/main" val="0"/>
                              </a:ext>
                            </a:extLst>
                          </a:blip>
                          <a:stretch>
                            <a:fillRect/>
                          </a:stretch>
                        </pic:blipFill>
                        <pic:spPr>
                          <a:xfrm>
                            <a:off x="0" y="0"/>
                            <a:ext cx="658495" cy="757555"/>
                          </a:xfrm>
                          <a:prstGeom prst="rect">
                            <a:avLst/>
                          </a:prstGeom>
                          <a:noFill/>
                          <a:ln>
                            <a:noFill/>
                          </a:ln>
                        </pic:spPr>
                      </pic:pic>
                    </a:graphicData>
                  </a:graphic>
                </wp:inline>
              </w:drawing>
            </w:r>
          </w:p>
          <w:p w14:paraId="6FD793A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rPr>
            </w:pPr>
            <w:r>
              <w:rPr>
                <w:rFonts w:hint="eastAsia" w:ascii="宋体" w:hAnsi="宋体" w:eastAsia="宋体" w:cs="宋体"/>
                <w:color w:val="FF0000"/>
              </w:rPr>
              <w:t>陈莲河</w:t>
            </w:r>
          </w:p>
        </w:tc>
        <w:tc>
          <w:tcPr>
            <w:tcW w:w="1060" w:type="dxa"/>
            <w:tcBorders>
              <w:tl2br w:val="nil"/>
              <w:tr2bl w:val="nil"/>
            </w:tcBorders>
            <w:vAlign w:val="center"/>
          </w:tcPr>
          <w:p w14:paraId="4676598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《父亲的病》</w:t>
            </w:r>
          </w:p>
        </w:tc>
        <w:tc>
          <w:tcPr>
            <w:tcW w:w="917" w:type="dxa"/>
            <w:tcBorders>
              <w:tl2br w:val="nil"/>
              <w:tr2bl w:val="nil"/>
            </w:tcBorders>
            <w:vAlign w:val="center"/>
          </w:tcPr>
          <w:p w14:paraId="1FF10EF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医治父亲的“名医”</w:t>
            </w:r>
          </w:p>
        </w:tc>
        <w:tc>
          <w:tcPr>
            <w:tcW w:w="4164" w:type="dxa"/>
            <w:tcBorders>
              <w:tl2br w:val="nil"/>
              <w:tr2bl w:val="nil"/>
            </w:tcBorders>
            <w:vAlign w:val="center"/>
          </w:tcPr>
          <w:p w14:paraId="090DD31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①用“蟋蟀一对”“败鼓皮丸”等稀奇药物为药引——故弄玄虚</w:t>
            </w:r>
          </w:p>
          <w:p w14:paraId="6303862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②认为舌乃心之灵苗，建议父亲用一种在舌上的丹——愚弄病人</w:t>
            </w:r>
          </w:p>
          <w:p w14:paraId="54081CB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③认为医能医病，不能医命，让父亲请人看一看冤愆的建议——封建迷信、草菅人命</w:t>
            </w:r>
          </w:p>
        </w:tc>
        <w:tc>
          <w:tcPr>
            <w:tcW w:w="2107" w:type="dxa"/>
            <w:tcBorders>
              <w:tl2br w:val="nil"/>
              <w:tr2bl w:val="nil"/>
            </w:tcBorders>
            <w:vAlign w:val="center"/>
          </w:tcPr>
          <w:p w14:paraId="0233AFB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通过家庭的变故表达了对“名医”庸医误人、故弄玄虚、勒索钱财、草菅人命的深切的痛恨，在感叹中让人体会到人生的伤悲。</w:t>
            </w:r>
          </w:p>
        </w:tc>
      </w:tr>
    </w:tbl>
    <w:p w14:paraId="287ADD94">
      <w:pPr>
        <w:tabs>
          <w:tab w:val="left" w:pos="4320"/>
        </w:tabs>
        <w:wordWrap w:val="0"/>
        <w:snapToGrid w:val="0"/>
        <w:spacing w:line="360" w:lineRule="auto"/>
        <w:ind w:firstLine="420" w:firstLineChars="200"/>
        <w:rPr>
          <w:rFonts w:hint="eastAsia" w:ascii="宋体" w:hAnsi="宋体" w:eastAsia="宋体" w:cs="宋体"/>
          <w:color w:val="FF0000"/>
          <w:szCs w:val="21"/>
        </w:rPr>
      </w:pPr>
    </w:p>
    <w:p w14:paraId="1CC8924A">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任务五：察·鲁迅心中的“那些情”</w:t>
      </w:r>
    </w:p>
    <w:p w14:paraId="2D97D4E7">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p>
    <w:p w14:paraId="024524DC">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color w:val="FF0000"/>
        </w:rPr>
        <w:drawing>
          <wp:inline distT="0" distB="0" distL="114300" distR="114300">
            <wp:extent cx="5399405" cy="2817495"/>
            <wp:effectExtent l="0" t="0" r="10795" b="19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8"/>
                    <a:stretch>
                      <a:fillRect/>
                    </a:stretch>
                  </pic:blipFill>
                  <pic:spPr>
                    <a:xfrm>
                      <a:off x="0" y="0"/>
                      <a:ext cx="5399405" cy="2817495"/>
                    </a:xfrm>
                    <a:prstGeom prst="rect">
                      <a:avLst/>
                    </a:prstGeom>
                    <a:noFill/>
                    <a:ln>
                      <a:noFill/>
                    </a:ln>
                  </pic:spPr>
                </pic:pic>
              </a:graphicData>
            </a:graphic>
          </wp:inline>
        </w:drawing>
      </w:r>
    </w:p>
    <w:p w14:paraId="02043447">
      <w:pPr>
        <w:tabs>
          <w:tab w:val="left" w:pos="4320"/>
        </w:tabs>
        <w:snapToGrid w:val="0"/>
        <w:spacing w:line="360" w:lineRule="auto"/>
        <w:ind w:firstLine="420" w:firstLineChars="200"/>
        <w:jc w:val="center"/>
        <w:rPr>
          <w:rFonts w:hint="eastAsia" w:ascii="宋体" w:hAnsi="宋体" w:eastAsia="宋体" w:cs="Times New Roman"/>
          <w:color w:val="FF0000"/>
          <w:szCs w:val="21"/>
          <w:lang w:val="en-US" w:eastAsia="zh-CN"/>
        </w:rPr>
      </w:pPr>
    </w:p>
    <w:p w14:paraId="301C9584">
      <w:pPr>
        <w:tabs>
          <w:tab w:val="left" w:pos="4320"/>
        </w:tabs>
        <w:snapToGrid w:val="0"/>
        <w:spacing w:line="360" w:lineRule="auto"/>
        <w:ind w:firstLine="420" w:firstLineChars="200"/>
        <w:jc w:val="center"/>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给鲁迅先生的一封信</w:t>
      </w:r>
    </w:p>
    <w:p w14:paraId="415D498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0" w:firstLineChars="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尊敬的鲁迅先生:</w:t>
      </w:r>
    </w:p>
    <w:p w14:paraId="51839EA8">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您好!</w:t>
      </w:r>
    </w:p>
    <w:p w14:paraId="37F11536">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给您写这封信我深感荣幸。我知道,《朝花夕拾》这本书是您的一部重要散文集,其中所收录的十篇回忆性散文,反映了您童年、少年、青年时期的生活,也呈现了您的性格和志趣的形成过程,表达了您对社会和人性的深刻见解。我希望能通过这封信,更深入地了解您在写作时的思想情感。</w:t>
      </w:r>
    </w:p>
    <w:p w14:paraId="4AEDF6A8">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面对童年成长的环境、对特别关心帮助自己的“责人”,您是温情脉脉的。在您童年的世界里,有心爱的宠物,有玩耍的乐园,这里,斑蝥会释放特殊的臭气,蜈蚣也是可怕的毒虫,两种平时不讨人喜欢的动物却有着“无限趣味”.……在您的成长过程中,您还遇到了两个特别难忘的人。一个是“长妈妈”,她虽然没有文化,甚至有几分粗俗,但她心地善良、乐于助人,对生活有着美好希望,还给您买了“最为心爱”的《山海经》;一个是藤野先生,他认真订正您的讲义,关心您解剖尸体的情况,正直热诚,治学严谨,没有民族偏见。对于充满美好回忆的童年,对于乐于助人的善良的人,您表达了深切的怀念。</w:t>
      </w:r>
    </w:p>
    <w:p w14:paraId="7BC74308">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面对封建教育方式和封建孝道,您是愤怒的。关于封建教育方式,在《五猖会》中,在您想要去看心心念念的“五猖会”,兴高采烈地准备出发时,您的父亲却突然把您叫住,要求您背完《鉴略》才能去。那时的封建家长们,大多不懂孩子的心理,认为玩耍是无用之事,读书才是正道,常常对孩子采取专制的教育方式。对此，您感到压抑,您是想反抗的。</w:t>
      </w:r>
    </w:p>
    <w:p w14:paraId="700E5041">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关于封建孝道,其中最著名的便是《&lt;二十四孝图〉》。传统的二十四孝故事中,郭巨为了供养自己的母亲,竟然准备埋掉自己年幼的儿子。幸好他在地下挖到了黄金,不然他的儿子就一命呜呼了。郭巨作为父亲,做出如此残忍的行为,反而被视为典型的孝子,真是有悖常理。这个故事让您感到害怕,“才知道‘孝’有如此之难,对于先前痴心妄想,想做孝子的计划,完全绝望了”。面对这害人的封建旧制度，您毅然拿起讽刺的笔,作出最猛烈的抨击。</w:t>
      </w:r>
    </w:p>
    <w:p w14:paraId="0AC7B8BC">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面对故友,您是同情的。您同范爱农在东京初识时产生了误会,觉得他“很可恶”,甚至以为“要革命,首先就必须将范爱农除去”。到辛亥革命前一年,故乡重逢时,笑谈各自经历，便加深了彼此的理解。知道他回乡后,遭轻蔑、排斥、迫害,几乎无处容身,以至“躲在乡下,教着几个小学生糊口”。后来,经过诸多事件,你俩渐成知己，可惜,好友却“景况愈困穷,言辞也愈凄苦”,最后“便在各处飘浮”,在对革命失望的心境中,在夜半刮大风下大雨时终至溺水而死。对热爱祖国、倔强耿直、不随波逐流、不趋炎附势的好友,您表达了深切的缅怀;对当时辛亥革命前后的社会病态,您又表现出了深刻的批判。</w:t>
      </w:r>
    </w:p>
    <w:p w14:paraId="2752D83F">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当然了,您还有很多方面的情感,有对弱小者的同情,有对暴虐者的厌恶,有对庸医的痛恨,有对探求真理的追求,有对打着“公理”“正义”旗号的“正人君子”的嘲讽……其实,这些情感的背后,我发现您坚定地站在了美好、善良的一边。您以平视的角度描绘每一个人物,不论是底层的保姆,还是知识分子,您都给予他们应有的尊重,凡是美好的,您都给予赞扬。您关注底层人民的生活状态,关心他们的命运,对于不公的社会现象,您总是毫不犹豫地站出来为弱者发声,该抨击的就抨击,该批判的就批判。这种人文关怀、理性思考、审视态度不仅体现在您的作品中,更是贯穿于您一生的思想立场。</w:t>
      </w:r>
    </w:p>
    <w:p w14:paraId="62CF3C1B">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总之,在这部书中,您以细腻的笔触,勾画出那些熟悉又遥远的记忆,使读者仿佛置身于那个时代,感受着您成长的足迹与对社会的洞察。</w:t>
      </w:r>
    </w:p>
    <w:p w14:paraId="3E49A372">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最后,我想向您表达我的敬意。《朝花夕拾》不仅是一部回忆录,更是一部充满智慧与情感的人生哲学。您用平实、真挚的语言为我们展现了一个时代的风貌,一个知识分子的思考与担当。您的文字不仅是留给我们的宝贵精神财富,更是对于未来的一种启迪和期望。希望我们在今后的日子里,能够继续传承您的精神,关注社会现实,坚守人文关怀,为国家的发展贡献自己的力量。</w:t>
      </w:r>
    </w:p>
    <w:p w14:paraId="70EDFA4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0" w:firstLineChars="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此致，</w:t>
      </w:r>
    </w:p>
    <w:p w14:paraId="6E55295C">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敬礼!</w:t>
      </w:r>
    </w:p>
    <w:p w14:paraId="12D93358">
      <w:pPr>
        <w:tabs>
          <w:tab w:val="left" w:pos="4320"/>
        </w:tabs>
        <w:snapToGrid w:val="0"/>
        <w:spacing w:line="360" w:lineRule="auto"/>
        <w:ind w:firstLine="420" w:firstLineChars="200"/>
        <w:jc w:val="right"/>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 xml:space="preserve">XXX </w:t>
      </w:r>
    </w:p>
    <w:p w14:paraId="797C8823">
      <w:pPr>
        <w:tabs>
          <w:tab w:val="left" w:pos="4320"/>
        </w:tabs>
        <w:snapToGrid w:val="0"/>
        <w:spacing w:line="360" w:lineRule="auto"/>
        <w:ind w:firstLine="420" w:firstLineChars="200"/>
        <w:jc w:val="right"/>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2024年X月X日</w:t>
      </w:r>
    </w:p>
    <w:p w14:paraId="0D26405B">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p>
    <w:p w14:paraId="3B998991">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2.（1）把记叙、描写、抒情和议论有机地融为一体，充满诗情画意。如描写百草园的景致，绘声绘色，令人神往。</w:t>
      </w:r>
    </w:p>
    <w:p w14:paraId="27C2D7A7">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（2）在对往事深情的回忆时，作者无法忘却现实,时不时插入一些“杂文笔法”(即对现实的议论)，显示了鲁迅先生真实而丰富的内心世界。</w:t>
      </w:r>
    </w:p>
    <w:p w14:paraId="57C3242D">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（3）常摄取生活中的小细节，以小见大，写人则写出人物的神韵，写事则写出事件的本质。</w:t>
      </w:r>
    </w:p>
    <w:p w14:paraId="7ACC7434">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（4）批判、讽刺封建旧制度、旧道德时，多用反讽手法，又称“双关”。表面上很冷静地叙述事件的始末,其实是反话正说，在叙述中暗含着“言在此而意在彼”的巧妙讽刺。</w:t>
      </w:r>
    </w:p>
    <w:p w14:paraId="189E3D6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5）对比手法的运用。如《五猖会》通过“我”前后心境的对比表达了作者对封建社会的反感与批判；《无常》通过将无常这个“鬼”和现实中的“人”做对比，深刻地刻画出现实生活中某些“人格”不如“鬼格”的人的丑恶面目。</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38EB0">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9851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424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0D2B2">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A603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F86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zOTNkZDM4NzNjZWZiOWUxMmRlZDEzYTJlMzk2NTA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C071A"/>
    <w:rsid w:val="011E7635"/>
    <w:rsid w:val="013F64D7"/>
    <w:rsid w:val="01443A28"/>
    <w:rsid w:val="022F4F6E"/>
    <w:rsid w:val="02BA4EA4"/>
    <w:rsid w:val="02BF77F6"/>
    <w:rsid w:val="030F1F7E"/>
    <w:rsid w:val="038459BA"/>
    <w:rsid w:val="03A10FD4"/>
    <w:rsid w:val="03C56D03"/>
    <w:rsid w:val="03FD228F"/>
    <w:rsid w:val="040F1ED1"/>
    <w:rsid w:val="046F6F2B"/>
    <w:rsid w:val="05033E0F"/>
    <w:rsid w:val="05444DDB"/>
    <w:rsid w:val="054C4671"/>
    <w:rsid w:val="06A84FEF"/>
    <w:rsid w:val="07133F23"/>
    <w:rsid w:val="071D0B0C"/>
    <w:rsid w:val="072506FA"/>
    <w:rsid w:val="073D4803"/>
    <w:rsid w:val="07493674"/>
    <w:rsid w:val="07BA14B5"/>
    <w:rsid w:val="07C2142A"/>
    <w:rsid w:val="07D6545A"/>
    <w:rsid w:val="0846085E"/>
    <w:rsid w:val="08B70410"/>
    <w:rsid w:val="08F63B48"/>
    <w:rsid w:val="0A436F2E"/>
    <w:rsid w:val="0A6C6192"/>
    <w:rsid w:val="0A830C70"/>
    <w:rsid w:val="0AA04FB4"/>
    <w:rsid w:val="0AF20379"/>
    <w:rsid w:val="0B9A5B2A"/>
    <w:rsid w:val="0B9D4CB5"/>
    <w:rsid w:val="0BBE35C7"/>
    <w:rsid w:val="0CCE5330"/>
    <w:rsid w:val="0D092489"/>
    <w:rsid w:val="0D4252AC"/>
    <w:rsid w:val="0D786B79"/>
    <w:rsid w:val="0E5A03D3"/>
    <w:rsid w:val="0E5B6625"/>
    <w:rsid w:val="0E674BA2"/>
    <w:rsid w:val="0ECB40C7"/>
    <w:rsid w:val="0EDC703A"/>
    <w:rsid w:val="0F961F16"/>
    <w:rsid w:val="0FD717B9"/>
    <w:rsid w:val="10146D27"/>
    <w:rsid w:val="11F27FC3"/>
    <w:rsid w:val="11F77791"/>
    <w:rsid w:val="12521E00"/>
    <w:rsid w:val="12654875"/>
    <w:rsid w:val="1281338F"/>
    <w:rsid w:val="12B95677"/>
    <w:rsid w:val="132A2A6A"/>
    <w:rsid w:val="13577E6B"/>
    <w:rsid w:val="13926013"/>
    <w:rsid w:val="13EE777D"/>
    <w:rsid w:val="14183E89"/>
    <w:rsid w:val="15BB1496"/>
    <w:rsid w:val="160D7128"/>
    <w:rsid w:val="167A04D9"/>
    <w:rsid w:val="16A8314F"/>
    <w:rsid w:val="1735378C"/>
    <w:rsid w:val="173D12C8"/>
    <w:rsid w:val="18246F68"/>
    <w:rsid w:val="18CE08C0"/>
    <w:rsid w:val="199F6E23"/>
    <w:rsid w:val="19EF59BA"/>
    <w:rsid w:val="1A2C3FB5"/>
    <w:rsid w:val="1AB10F80"/>
    <w:rsid w:val="1ADD017C"/>
    <w:rsid w:val="1B7D623F"/>
    <w:rsid w:val="1BEE6F83"/>
    <w:rsid w:val="1C130AF5"/>
    <w:rsid w:val="1CA15C23"/>
    <w:rsid w:val="1CF10D56"/>
    <w:rsid w:val="1D41732E"/>
    <w:rsid w:val="1E205A0A"/>
    <w:rsid w:val="1FE13D1F"/>
    <w:rsid w:val="204A7721"/>
    <w:rsid w:val="20AC37BC"/>
    <w:rsid w:val="21132D8F"/>
    <w:rsid w:val="22077EAB"/>
    <w:rsid w:val="22E22A19"/>
    <w:rsid w:val="22F57EAF"/>
    <w:rsid w:val="23454050"/>
    <w:rsid w:val="238A47ED"/>
    <w:rsid w:val="23CC192B"/>
    <w:rsid w:val="23E22D62"/>
    <w:rsid w:val="2446197E"/>
    <w:rsid w:val="251C7334"/>
    <w:rsid w:val="253A197B"/>
    <w:rsid w:val="253B7EF0"/>
    <w:rsid w:val="25A6683E"/>
    <w:rsid w:val="25FB54E6"/>
    <w:rsid w:val="2637307C"/>
    <w:rsid w:val="26E8389F"/>
    <w:rsid w:val="277906A3"/>
    <w:rsid w:val="27A120F3"/>
    <w:rsid w:val="280529A9"/>
    <w:rsid w:val="2810618F"/>
    <w:rsid w:val="28501844"/>
    <w:rsid w:val="2857710D"/>
    <w:rsid w:val="28932D88"/>
    <w:rsid w:val="28AB6F49"/>
    <w:rsid w:val="28E65FFE"/>
    <w:rsid w:val="2AA91D98"/>
    <w:rsid w:val="2AB4113F"/>
    <w:rsid w:val="2ADD0BB2"/>
    <w:rsid w:val="2B2067D5"/>
    <w:rsid w:val="2B47078A"/>
    <w:rsid w:val="2B682A08"/>
    <w:rsid w:val="2C4829BD"/>
    <w:rsid w:val="2C8C11DD"/>
    <w:rsid w:val="2E0A72C8"/>
    <w:rsid w:val="2F293F75"/>
    <w:rsid w:val="2F2A2F8A"/>
    <w:rsid w:val="2F4E5184"/>
    <w:rsid w:val="3025488D"/>
    <w:rsid w:val="30DA1C73"/>
    <w:rsid w:val="315D6074"/>
    <w:rsid w:val="31A27A28"/>
    <w:rsid w:val="324B1359"/>
    <w:rsid w:val="328B5D49"/>
    <w:rsid w:val="32B97039"/>
    <w:rsid w:val="32D3190B"/>
    <w:rsid w:val="32DB3574"/>
    <w:rsid w:val="32EE1483"/>
    <w:rsid w:val="33B413C2"/>
    <w:rsid w:val="33D22C2B"/>
    <w:rsid w:val="340B51F1"/>
    <w:rsid w:val="34237336"/>
    <w:rsid w:val="34282373"/>
    <w:rsid w:val="34DB19BE"/>
    <w:rsid w:val="34F53A02"/>
    <w:rsid w:val="373D3686"/>
    <w:rsid w:val="37B65A46"/>
    <w:rsid w:val="37F35313"/>
    <w:rsid w:val="38585147"/>
    <w:rsid w:val="387B5CC0"/>
    <w:rsid w:val="38904BF4"/>
    <w:rsid w:val="38A071A7"/>
    <w:rsid w:val="399B5556"/>
    <w:rsid w:val="39CB1E5C"/>
    <w:rsid w:val="3A286ECA"/>
    <w:rsid w:val="3A5F7C1D"/>
    <w:rsid w:val="3ACD1DA9"/>
    <w:rsid w:val="3AEE3F03"/>
    <w:rsid w:val="3B7658E9"/>
    <w:rsid w:val="3B7B02A5"/>
    <w:rsid w:val="3BE45256"/>
    <w:rsid w:val="3CFC5CFD"/>
    <w:rsid w:val="3E817133"/>
    <w:rsid w:val="3EAB2E53"/>
    <w:rsid w:val="3FC574F3"/>
    <w:rsid w:val="405F5252"/>
    <w:rsid w:val="409243BE"/>
    <w:rsid w:val="41041ADA"/>
    <w:rsid w:val="414769E5"/>
    <w:rsid w:val="4184316F"/>
    <w:rsid w:val="41CF28EE"/>
    <w:rsid w:val="421B3E90"/>
    <w:rsid w:val="42E20606"/>
    <w:rsid w:val="433F7E95"/>
    <w:rsid w:val="434661BF"/>
    <w:rsid w:val="442E13C5"/>
    <w:rsid w:val="452E0BB6"/>
    <w:rsid w:val="45E81FF5"/>
    <w:rsid w:val="45EF4D65"/>
    <w:rsid w:val="46C22806"/>
    <w:rsid w:val="46DC584E"/>
    <w:rsid w:val="47064475"/>
    <w:rsid w:val="475060AF"/>
    <w:rsid w:val="47B45481"/>
    <w:rsid w:val="48C06874"/>
    <w:rsid w:val="48E576D2"/>
    <w:rsid w:val="48FB5D34"/>
    <w:rsid w:val="4A181876"/>
    <w:rsid w:val="4A7C355C"/>
    <w:rsid w:val="4BDE5BC4"/>
    <w:rsid w:val="4C105824"/>
    <w:rsid w:val="4E835BA2"/>
    <w:rsid w:val="4E9D060F"/>
    <w:rsid w:val="4EE50577"/>
    <w:rsid w:val="4F1D1146"/>
    <w:rsid w:val="4F6768F9"/>
    <w:rsid w:val="4F7F521D"/>
    <w:rsid w:val="4FEE214E"/>
    <w:rsid w:val="50507BB0"/>
    <w:rsid w:val="50AA0EC9"/>
    <w:rsid w:val="50D71373"/>
    <w:rsid w:val="513A3AA6"/>
    <w:rsid w:val="52B82624"/>
    <w:rsid w:val="52CB49C9"/>
    <w:rsid w:val="533865A1"/>
    <w:rsid w:val="53EA5059"/>
    <w:rsid w:val="557C43C4"/>
    <w:rsid w:val="56794E67"/>
    <w:rsid w:val="56893B64"/>
    <w:rsid w:val="56D30863"/>
    <w:rsid w:val="58EC0A5F"/>
    <w:rsid w:val="59CA000B"/>
    <w:rsid w:val="59D62030"/>
    <w:rsid w:val="5A252481"/>
    <w:rsid w:val="5AA71877"/>
    <w:rsid w:val="5C6760BF"/>
    <w:rsid w:val="5CCB3F43"/>
    <w:rsid w:val="5D8D649B"/>
    <w:rsid w:val="5F49278D"/>
    <w:rsid w:val="5F58336A"/>
    <w:rsid w:val="5F6D710E"/>
    <w:rsid w:val="5F971AA2"/>
    <w:rsid w:val="5FC60AF2"/>
    <w:rsid w:val="5FD56457"/>
    <w:rsid w:val="5FDC1718"/>
    <w:rsid w:val="60676BE3"/>
    <w:rsid w:val="60690D23"/>
    <w:rsid w:val="60A824A6"/>
    <w:rsid w:val="60F4695C"/>
    <w:rsid w:val="61280963"/>
    <w:rsid w:val="615349FA"/>
    <w:rsid w:val="615A3CBB"/>
    <w:rsid w:val="61B451A2"/>
    <w:rsid w:val="61CF56B7"/>
    <w:rsid w:val="62187C3E"/>
    <w:rsid w:val="62EF0B74"/>
    <w:rsid w:val="64126F59"/>
    <w:rsid w:val="641E35AF"/>
    <w:rsid w:val="669435F8"/>
    <w:rsid w:val="66A836C1"/>
    <w:rsid w:val="675F283D"/>
    <w:rsid w:val="67901DE5"/>
    <w:rsid w:val="68310290"/>
    <w:rsid w:val="683F57E5"/>
    <w:rsid w:val="6942558D"/>
    <w:rsid w:val="6ADF0B63"/>
    <w:rsid w:val="6AEF34F2"/>
    <w:rsid w:val="6B816879"/>
    <w:rsid w:val="6C1A70D2"/>
    <w:rsid w:val="6C6857D1"/>
    <w:rsid w:val="6D325918"/>
    <w:rsid w:val="6D413EF5"/>
    <w:rsid w:val="6DA47E46"/>
    <w:rsid w:val="6DF55653"/>
    <w:rsid w:val="6E0E0DEF"/>
    <w:rsid w:val="6EB42BD3"/>
    <w:rsid w:val="6ECA4467"/>
    <w:rsid w:val="6EEC100C"/>
    <w:rsid w:val="709654EB"/>
    <w:rsid w:val="70C62CED"/>
    <w:rsid w:val="71912308"/>
    <w:rsid w:val="71AA0501"/>
    <w:rsid w:val="72334B5B"/>
    <w:rsid w:val="7295497F"/>
    <w:rsid w:val="7302218D"/>
    <w:rsid w:val="73135419"/>
    <w:rsid w:val="739531F2"/>
    <w:rsid w:val="739B5807"/>
    <w:rsid w:val="73BD6C1A"/>
    <w:rsid w:val="744E316F"/>
    <w:rsid w:val="74BB4445"/>
    <w:rsid w:val="74C403DB"/>
    <w:rsid w:val="74E120FE"/>
    <w:rsid w:val="753A661D"/>
    <w:rsid w:val="75405343"/>
    <w:rsid w:val="75C13CF8"/>
    <w:rsid w:val="76185D90"/>
    <w:rsid w:val="76EB5674"/>
    <w:rsid w:val="774A136A"/>
    <w:rsid w:val="77756B2D"/>
    <w:rsid w:val="778C6185"/>
    <w:rsid w:val="78AB0A2D"/>
    <w:rsid w:val="79541156"/>
    <w:rsid w:val="79CD6D28"/>
    <w:rsid w:val="7A3E38FA"/>
    <w:rsid w:val="7ADB0244"/>
    <w:rsid w:val="7AE2097E"/>
    <w:rsid w:val="7B32598B"/>
    <w:rsid w:val="7B39441D"/>
    <w:rsid w:val="7B825CBD"/>
    <w:rsid w:val="7B833B7B"/>
    <w:rsid w:val="7C583E77"/>
    <w:rsid w:val="7DE31DEC"/>
    <w:rsid w:val="7E236C23"/>
    <w:rsid w:val="7E774EB5"/>
    <w:rsid w:val="7ED9063A"/>
    <w:rsid w:val="7F1865E7"/>
    <w:rsid w:val="7FB40415"/>
    <w:rsid w:val="7FF0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rPr>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autoRedefine/>
    <w:qFormat/>
    <w:uiPriority w:val="99"/>
    <w:rPr>
      <w:sz w:val="18"/>
      <w:szCs w:val="18"/>
    </w:rPr>
  </w:style>
  <w:style w:type="character" w:customStyle="1" w:styleId="12">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2543</Words>
  <Characters>2580</Characters>
  <Lines>48</Lines>
  <Paragraphs>13</Paragraphs>
  <TotalTime>1</TotalTime>
  <ScaleCrop>false</ScaleCrop>
  <LinksUpToDate>false</LinksUpToDate>
  <CharactersWithSpaces>2794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553CBF147C3E49448615654C15525627_12</vt:lpwstr>
  </property>
  <property fmtid="{D5CDD505-2E9C-101B-9397-08002B2CF9AE}" pid="8" name="KSOTemplateDocerSaveRecord">
    <vt:lpwstr>eyJoZGlkIjoiMTdiNDU1YTY5MzAxYTM3YjA5ZWRjZDgyNDZiYzc2OWEiLCJ1c2VySWQiOiI3ODUwOTA2ODcifQ==</vt:lpwstr>
  </property>
</Properties>
</file>