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2099E">
      <w:pPr>
        <w:tabs>
          <w:tab w:val="left" w:pos="4320"/>
        </w:tabs>
        <w:snapToGrid w:val="0"/>
        <w:spacing w:line="360" w:lineRule="auto"/>
        <w:jc w:val="left"/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bookmarkStart w:id="3" w:name="_GoBack"/>
      <w:bookmarkEnd w:id="3"/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11849100</wp:posOffset>
            </wp:positionH>
            <wp:positionV relativeFrom="topMargin">
              <wp:posOffset>10960100</wp:posOffset>
            </wp:positionV>
            <wp:extent cx="342900" cy="393700"/>
            <wp:effectExtent l="0" t="0" r="0" b="635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22374094"/>
    </w:p>
    <w:p w14:paraId="38212D9F">
      <w:pPr>
        <w:tabs>
          <w:tab w:val="left" w:pos="4320"/>
        </w:tabs>
        <w:snapToGrid w:val="0"/>
        <w:spacing w:line="360" w:lineRule="auto"/>
        <w:jc w:val="center"/>
        <w:rPr>
          <w:rFonts w:hint="default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涵泳古代诗歌  邂逅四季之美</w:t>
      </w:r>
    </w:p>
    <w:p w14:paraId="296DFCCE">
      <w:pPr>
        <w:tabs>
          <w:tab w:val="left" w:pos="4320"/>
        </w:tabs>
        <w:snapToGrid w:val="0"/>
        <w:spacing w:line="360" w:lineRule="auto"/>
        <w:jc w:val="center"/>
        <w:rPr>
          <w:rFonts w:hint="default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——《古代诗歌四首》教学设计</w:t>
      </w:r>
    </w:p>
    <w:p w14:paraId="3A87C5B7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【教学目标】</w:t>
      </w:r>
    </w:p>
    <w:p w14:paraId="6C4F105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bookmarkStart w:id="1" w:name="_Hlk46172034"/>
      <w:r>
        <w:rPr>
          <w:rFonts w:ascii="宋体" w:hAnsi="宋体" w:eastAsia="宋体" w:cs="Times New Roman"/>
          <w:szCs w:val="21"/>
        </w:rPr>
        <w:t>1.</w:t>
      </w:r>
      <w:r>
        <w:rPr>
          <w:rFonts w:hint="eastAsia" w:ascii="宋体" w:hAnsi="宋体" w:eastAsia="宋体" w:cs="Times New Roman"/>
          <w:szCs w:val="21"/>
        </w:rPr>
        <w:t>准确、流利、有感情地朗读,结合朗读展开想象,感受诗歌的情境。</w:t>
      </w:r>
    </w:p>
    <w:p w14:paraId="41606C3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2.</w:t>
      </w:r>
      <w:r>
        <w:rPr>
          <w:rFonts w:hint="eastAsia" w:ascii="宋体" w:hAnsi="宋体" w:eastAsia="宋体" w:cs="Times New Roman"/>
          <w:szCs w:val="21"/>
        </w:rPr>
        <w:t>联系写作背景,感悟诗歌中寄寓的情感,初步体会诗歌情景交融的特点。</w:t>
      </w:r>
      <w:r>
        <w:rPr>
          <w:rFonts w:ascii="宋体" w:hAnsi="宋体" w:eastAsia="宋体" w:cs="Times New Roman"/>
          <w:szCs w:val="21"/>
        </w:rPr>
        <w:t xml:space="preserve"> </w:t>
      </w:r>
    </w:p>
    <w:p w14:paraId="6EF74CE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szCs w:val="21"/>
          <w:lang w:val="en-US" w:eastAsia="zh-CN"/>
        </w:rPr>
      </w:pPr>
      <w:r>
        <w:rPr>
          <w:rFonts w:ascii="宋体" w:hAnsi="宋体" w:eastAsia="宋体" w:cs="Times New Roman"/>
          <w:szCs w:val="21"/>
        </w:rPr>
        <w:t>3.</w:t>
      </w:r>
      <w:r>
        <w:rPr>
          <w:rFonts w:hint="eastAsia" w:ascii="宋体" w:hAnsi="宋体" w:eastAsia="宋体" w:cs="Times New Roman"/>
          <w:szCs w:val="21"/>
        </w:rPr>
        <w:t>初步了解古代诗歌的一些常识,学习欣赏古诗</w:t>
      </w:r>
      <w:r>
        <w:rPr>
          <w:rFonts w:hint="eastAsia" w:ascii="宋体" w:hAnsi="宋体" w:eastAsia="宋体" w:cs="Times New Roman"/>
          <w:szCs w:val="21"/>
          <w:lang w:val="en-US" w:eastAsia="zh-CN"/>
        </w:rPr>
        <w:t>。</w:t>
      </w:r>
    </w:p>
    <w:bookmarkEnd w:id="1"/>
    <w:p w14:paraId="2D1AF9A1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重点难点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6B5EECE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bookmarkStart w:id="2" w:name="_Hlk46172042"/>
      <w:r>
        <w:rPr>
          <w:rFonts w:hint="eastAsia" w:ascii="宋体" w:hAnsi="宋体" w:eastAsia="宋体" w:cs="Times New Roman"/>
          <w:szCs w:val="21"/>
        </w:rPr>
        <w:t>1.感悟诗歌中寄寓的情感,初步体会诗歌情景交融的特点。</w:t>
      </w:r>
    </w:p>
    <w:p w14:paraId="13B1284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2.结合朗读展开想象,感受诗歌的情境</w:t>
      </w:r>
      <w:r>
        <w:rPr>
          <w:rFonts w:hint="eastAsia" w:ascii="宋体" w:hAnsi="宋体" w:eastAsia="宋体" w:cs="Times New Roman"/>
          <w:szCs w:val="21"/>
          <w:lang w:eastAsia="zh-CN"/>
        </w:rPr>
        <w:t>，学习欣赏古诗</w:t>
      </w:r>
      <w:r>
        <w:rPr>
          <w:rFonts w:hint="eastAsia" w:ascii="宋体" w:hAnsi="宋体" w:eastAsia="宋体" w:cs="Times New Roman"/>
          <w:szCs w:val="21"/>
        </w:rPr>
        <w:t>。</w:t>
      </w:r>
    </w:p>
    <w:bookmarkEnd w:id="2"/>
    <w:p w14:paraId="59B8E8A2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任务群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7D17B38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任务一：备查·古诗新知</w:t>
      </w:r>
    </w:p>
    <w:p w14:paraId="3D15F49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任务二：遇见·四季之美</w:t>
      </w:r>
    </w:p>
    <w:p w14:paraId="73A51CA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任务三：涵泳·感悟哲思</w:t>
      </w:r>
    </w:p>
    <w:p w14:paraId="219A14A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任务四：吟诵·声韵传情</w:t>
      </w:r>
    </w:p>
    <w:p w14:paraId="0ACEBE58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【课时安排】</w:t>
      </w:r>
    </w:p>
    <w:p w14:paraId="2F0C3F7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2</w:t>
      </w:r>
      <w:r>
        <w:rPr>
          <w:rFonts w:ascii="宋体" w:hAnsi="宋体" w:eastAsia="宋体" w:cs="Times New Roman"/>
          <w:szCs w:val="21"/>
        </w:rPr>
        <w:t>课时</w:t>
      </w:r>
      <w:r>
        <w:rPr>
          <w:rFonts w:hint="eastAsia" w:ascii="宋体" w:hAnsi="宋体" w:eastAsia="宋体" w:cs="Times New Roman"/>
          <w:szCs w:val="21"/>
          <w:lang w:eastAsia="zh-CN"/>
        </w:rPr>
        <w:t>。</w:t>
      </w:r>
    </w:p>
    <w:p w14:paraId="6B4A220B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【教学过程】</w:t>
      </w:r>
    </w:p>
    <w:p w14:paraId="58E825A6">
      <w:pPr>
        <w:widowControl/>
        <w:spacing w:before="260" w:after="260" w:line="360" w:lineRule="auto"/>
        <w:jc w:val="center"/>
        <w:outlineLvl w:val="1"/>
        <w:rPr>
          <w:rFonts w:ascii="宋体" w:hAnsi="宋体" w:eastAsia="宋体" w:cs="Times New Roman"/>
          <w:b/>
          <w:bCs/>
          <w:szCs w:val="21"/>
        </w:rPr>
      </w:pPr>
      <w:r>
        <w:rPr>
          <w:rFonts w:ascii="宋体" w:hAnsi="宋体" w:eastAsia="宋体" w:cs="Times New Roman"/>
          <w:b/>
          <w:bCs/>
          <w:szCs w:val="21"/>
        </w:rPr>
        <w:t>第一课时</w:t>
      </w:r>
    </w:p>
    <w:p w14:paraId="0F7C8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default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一、导入新课</w:t>
      </w:r>
    </w:p>
    <w:p w14:paraId="2898FA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中国古代诗歌灿若繁星，学校文学社为了让我们更好的感受古诗词之美，准备以《古代诗歌四首》为内容，制作一期“涵泳古代诗歌  邂逅四季之美”为主题的展板，请你帮助文学社完成展板设计的相关任务。</w:t>
      </w:r>
    </w:p>
    <w:p w14:paraId="7E081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二、教学新课</w:t>
      </w:r>
    </w:p>
    <w:p w14:paraId="0C075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sz w:val="21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</w:rPr>
        <w:t>任务一：备查·古诗新知</w:t>
      </w:r>
    </w:p>
    <w:p w14:paraId="1C3E154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展板第一展区为“备查·古诗新知”，请你根据下列知识链接、课下注释以及自己查找的资料，帮助完成第一展区的表格填写。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9"/>
        <w:gridCol w:w="2489"/>
        <w:gridCol w:w="2490"/>
        <w:gridCol w:w="2490"/>
      </w:tblGrid>
      <w:tr w14:paraId="41DA7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2489" w:type="dxa"/>
            <w:vAlign w:val="center"/>
          </w:tcPr>
          <w:p w14:paraId="47DC1A7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题目</w:t>
            </w:r>
          </w:p>
        </w:tc>
        <w:tc>
          <w:tcPr>
            <w:tcW w:w="2489" w:type="dxa"/>
            <w:vAlign w:val="center"/>
          </w:tcPr>
          <w:p w14:paraId="6D680BF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出处</w:t>
            </w:r>
          </w:p>
        </w:tc>
        <w:tc>
          <w:tcPr>
            <w:tcW w:w="2490" w:type="dxa"/>
            <w:vAlign w:val="center"/>
          </w:tcPr>
          <w:p w14:paraId="1AEF210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作者简介</w:t>
            </w:r>
          </w:p>
        </w:tc>
        <w:tc>
          <w:tcPr>
            <w:tcW w:w="2490" w:type="dxa"/>
            <w:vAlign w:val="center"/>
          </w:tcPr>
          <w:p w14:paraId="73B1CF3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体裁</w:t>
            </w:r>
          </w:p>
        </w:tc>
      </w:tr>
      <w:tr w14:paraId="75225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2489" w:type="dxa"/>
            <w:vAlign w:val="center"/>
          </w:tcPr>
          <w:p w14:paraId="751794B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《观沧海》</w:t>
            </w:r>
          </w:p>
        </w:tc>
        <w:tc>
          <w:tcPr>
            <w:tcW w:w="2489" w:type="dxa"/>
            <w:vAlign w:val="center"/>
          </w:tcPr>
          <w:p w14:paraId="4DB2E74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90" w:type="dxa"/>
            <w:vAlign w:val="center"/>
          </w:tcPr>
          <w:p w14:paraId="34B22C2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90" w:type="dxa"/>
            <w:vAlign w:val="center"/>
          </w:tcPr>
          <w:p w14:paraId="79223C8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64763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2489" w:type="dxa"/>
            <w:vAlign w:val="center"/>
          </w:tcPr>
          <w:p w14:paraId="4B4469F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《次北固山下》</w:t>
            </w:r>
          </w:p>
        </w:tc>
        <w:tc>
          <w:tcPr>
            <w:tcW w:w="2489" w:type="dxa"/>
            <w:vAlign w:val="center"/>
          </w:tcPr>
          <w:p w14:paraId="580D9D9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90" w:type="dxa"/>
            <w:vAlign w:val="center"/>
          </w:tcPr>
          <w:p w14:paraId="4DFD677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90" w:type="dxa"/>
            <w:vAlign w:val="center"/>
          </w:tcPr>
          <w:p w14:paraId="6CF5EA9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09116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2489" w:type="dxa"/>
            <w:vAlign w:val="center"/>
          </w:tcPr>
          <w:p w14:paraId="3458E07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《闻王昌龄左迁龙标遥有此寄》</w:t>
            </w:r>
          </w:p>
        </w:tc>
        <w:tc>
          <w:tcPr>
            <w:tcW w:w="2489" w:type="dxa"/>
            <w:vAlign w:val="center"/>
          </w:tcPr>
          <w:p w14:paraId="5C4F69A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90" w:type="dxa"/>
            <w:vAlign w:val="center"/>
          </w:tcPr>
          <w:p w14:paraId="5CBBDB0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90" w:type="dxa"/>
            <w:vAlign w:val="center"/>
          </w:tcPr>
          <w:p w14:paraId="77F5847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4B37F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2489" w:type="dxa"/>
            <w:vAlign w:val="center"/>
          </w:tcPr>
          <w:p w14:paraId="10FB6A1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《天净沙·秋思》</w:t>
            </w:r>
          </w:p>
        </w:tc>
        <w:tc>
          <w:tcPr>
            <w:tcW w:w="2489" w:type="dxa"/>
            <w:vAlign w:val="center"/>
          </w:tcPr>
          <w:p w14:paraId="5BC6579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90" w:type="dxa"/>
            <w:vAlign w:val="center"/>
          </w:tcPr>
          <w:p w14:paraId="7404D1D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90" w:type="dxa"/>
            <w:vAlign w:val="center"/>
          </w:tcPr>
          <w:p w14:paraId="444979D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</w:tbl>
    <w:p w14:paraId="40E1F38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8E1D81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eastAsia="zh-CN"/>
        </w:rPr>
        <w:t>【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知识链接</w:t>
      </w:r>
      <w:r>
        <w:rPr>
          <w:rFonts w:hint="eastAsia" w:ascii="宋体" w:hAnsi="宋体" w:eastAsia="宋体" w:cs="Times New Roman"/>
          <w:color w:val="000000"/>
          <w:szCs w:val="21"/>
          <w:lang w:eastAsia="zh-CN"/>
        </w:rPr>
        <w:t>】</w:t>
      </w:r>
    </w:p>
    <w:p w14:paraId="097832F6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drawing>
          <wp:inline distT="0" distB="0" distL="114300" distR="114300">
            <wp:extent cx="3347085" cy="2286000"/>
            <wp:effectExtent l="0" t="0" r="571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4708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98850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古体诗：古体诗是与近体诗相对而言的诗体，也称古诗、古风，古体诗格律自由，不拘对仗、平仄，押韵较宽，篇幅长短不限，句子有四言、五言、六言、七言体和杂言体。四言体盛行于西周、春秋战国时期，是古代产生最早的一种诗体。</w:t>
      </w:r>
    </w:p>
    <w:p w14:paraId="3EC635A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近体诗：又称今体诗、格律诗，是一种讲究平仄、对仗和押韵的诗歌体裁。为有别于古体诗而有近体之名。指初唐之后，形成的又一诗歌体裁。</w:t>
      </w:r>
    </w:p>
    <w:p w14:paraId="14BE5DD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近体诗包括绝句（绝句每首四句，五言的简称五绝，七言的简称七绝。）、律诗（一般每首八句，五言的简称五律，七言的简称七律，超过八句的则称为长律或排律。）。</w:t>
      </w:r>
    </w:p>
    <w:p w14:paraId="522C5D3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元曲：元曲是继唐诗宋词后兴起的一种艺术形式，是一种新的诗体，包括杂剧和散曲两部分。散曲又分小令和散套（又叫套曲、套数）。</w:t>
      </w:r>
    </w:p>
    <w:p w14:paraId="3D1E3EF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小令在元代又名“叶儿”，每首能独立，相当于一首诗或一阕词；由于它是能歌唱的文字，所以就有不同的曲调；每个曲调都有一个名称，叫曲牌，表示不同的谱式，规定小令的字数、句数、平仄、韵脚；通常一首小令一个曲牌，但也有例外的；曲牌表示曲调，小令另有题目。</w:t>
      </w:r>
    </w:p>
    <w:p w14:paraId="73912DA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9"/>
        <w:gridCol w:w="2340"/>
        <w:gridCol w:w="3189"/>
        <w:gridCol w:w="2490"/>
      </w:tblGrid>
      <w:tr w14:paraId="2E69A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939" w:type="dxa"/>
            <w:vAlign w:val="center"/>
          </w:tcPr>
          <w:p w14:paraId="59E12C0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题目</w:t>
            </w:r>
          </w:p>
        </w:tc>
        <w:tc>
          <w:tcPr>
            <w:tcW w:w="2340" w:type="dxa"/>
            <w:vAlign w:val="center"/>
          </w:tcPr>
          <w:p w14:paraId="0B0240F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出处</w:t>
            </w:r>
          </w:p>
        </w:tc>
        <w:tc>
          <w:tcPr>
            <w:tcW w:w="3189" w:type="dxa"/>
            <w:vAlign w:val="center"/>
          </w:tcPr>
          <w:p w14:paraId="2BB7F43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作者简介</w:t>
            </w:r>
          </w:p>
        </w:tc>
        <w:tc>
          <w:tcPr>
            <w:tcW w:w="2490" w:type="dxa"/>
            <w:vAlign w:val="center"/>
          </w:tcPr>
          <w:p w14:paraId="2B99837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体裁</w:t>
            </w:r>
          </w:p>
        </w:tc>
      </w:tr>
      <w:tr w14:paraId="43519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939" w:type="dxa"/>
            <w:vAlign w:val="center"/>
          </w:tcPr>
          <w:p w14:paraId="60DF9A9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《观沧海》</w:t>
            </w:r>
          </w:p>
        </w:tc>
        <w:tc>
          <w:tcPr>
            <w:tcW w:w="2340" w:type="dxa"/>
            <w:vAlign w:val="center"/>
          </w:tcPr>
          <w:p w14:paraId="62DDF01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《曹操集·诗集》《步出夏门行》第一章</w:t>
            </w:r>
          </w:p>
        </w:tc>
        <w:tc>
          <w:tcPr>
            <w:tcW w:w="3189" w:type="dxa"/>
            <w:vAlign w:val="center"/>
          </w:tcPr>
          <w:p w14:paraId="4E1D43A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曹操（155—220），字孟德，沛国谯（qiáo）县（今安徽亳(bó)州）人，东汉末政治家、军事家、诗人。与其子曹丕、曹植合称“三曹”，为建安文学代表人物。著有《孙子略解》《兵法接要》，诗歌《蒿里行》《观沧海》《龟虽寿》《短歌行》等。</w:t>
            </w:r>
          </w:p>
        </w:tc>
        <w:tc>
          <w:tcPr>
            <w:tcW w:w="2490" w:type="dxa"/>
            <w:vAlign w:val="center"/>
          </w:tcPr>
          <w:p w14:paraId="7A17B6A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古体诗中的四言诗</w:t>
            </w:r>
          </w:p>
        </w:tc>
      </w:tr>
      <w:tr w14:paraId="6D450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939" w:type="dxa"/>
            <w:vAlign w:val="center"/>
          </w:tcPr>
          <w:p w14:paraId="22B9BDA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《次北固山下》</w:t>
            </w:r>
          </w:p>
        </w:tc>
        <w:tc>
          <w:tcPr>
            <w:tcW w:w="2340" w:type="dxa"/>
            <w:vAlign w:val="center"/>
          </w:tcPr>
          <w:p w14:paraId="5C14522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《全唐诗》</w:t>
            </w:r>
          </w:p>
        </w:tc>
        <w:tc>
          <w:tcPr>
            <w:tcW w:w="3189" w:type="dxa"/>
            <w:vAlign w:val="center"/>
          </w:tcPr>
          <w:p w14:paraId="51B1ED0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王湾，生卒年不详，洛阳（今属河南）人，唐代诗人。现存诗不多，其中较出名的是《次北固山下》《奉使登终南山》。</w:t>
            </w:r>
          </w:p>
        </w:tc>
        <w:tc>
          <w:tcPr>
            <w:tcW w:w="2490" w:type="dxa"/>
            <w:vAlign w:val="center"/>
          </w:tcPr>
          <w:p w14:paraId="1004D35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近体诗中的律诗</w:t>
            </w:r>
          </w:p>
        </w:tc>
      </w:tr>
      <w:tr w14:paraId="4D1EE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939" w:type="dxa"/>
            <w:vAlign w:val="center"/>
          </w:tcPr>
          <w:p w14:paraId="6A6E80D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《闻王昌龄左迁龙标遥有此寄》</w:t>
            </w:r>
          </w:p>
        </w:tc>
        <w:tc>
          <w:tcPr>
            <w:tcW w:w="2340" w:type="dxa"/>
            <w:vAlign w:val="center"/>
          </w:tcPr>
          <w:p w14:paraId="753CFE6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《李白集校注》</w:t>
            </w:r>
          </w:p>
        </w:tc>
        <w:tc>
          <w:tcPr>
            <w:tcW w:w="3189" w:type="dxa"/>
            <w:vAlign w:val="center"/>
          </w:tcPr>
          <w:p w14:paraId="46C98AE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李白（701—762），字太白，号青莲居士，唐代伟大的浪漫主义诗人，其诗想象丰富，语言瑰丽活泼，风格豪放飘逸，感情奔放，富有浪漫主义色彩。诗歌语言以“清水出芙蓉，天然去雕饰”著称，后世誉为“诗仙”，与诗圣杜甫并称“李杜”。出生于西域，幼时随父迁居绵州昌隆（今四川江油）。著有《李太白集》，代表作有《望庐山瀑布》《行路难》《蜀道难》《将进酒》等</w:t>
            </w:r>
          </w:p>
          <w:p w14:paraId="6DC2FEE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90" w:type="dxa"/>
            <w:vAlign w:val="center"/>
          </w:tcPr>
          <w:p w14:paraId="278827F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近体诗中的绝句</w:t>
            </w:r>
          </w:p>
        </w:tc>
      </w:tr>
      <w:tr w14:paraId="0DCC4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939" w:type="dxa"/>
            <w:vAlign w:val="center"/>
          </w:tcPr>
          <w:p w14:paraId="5EA39F5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《天净沙·秋思》</w:t>
            </w:r>
          </w:p>
        </w:tc>
        <w:tc>
          <w:tcPr>
            <w:tcW w:w="2340" w:type="dxa"/>
            <w:vAlign w:val="center"/>
          </w:tcPr>
          <w:p w14:paraId="6198F75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《全元散曲》</w:t>
            </w:r>
          </w:p>
        </w:tc>
        <w:tc>
          <w:tcPr>
            <w:tcW w:w="3189" w:type="dxa"/>
            <w:vAlign w:val="center"/>
          </w:tcPr>
          <w:p w14:paraId="2D3B7C1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马致远（ 约1251—1321以后），号东篱，一说字千里，大都（今北京）人，元代戏曲作家、散曲家，被誉为“秋思之祖”。与关汉卿、郑光祖、白朴并称“元曲四大家”。代表作《汉宫秋》《天净沙·秋思》等。</w:t>
            </w:r>
          </w:p>
        </w:tc>
        <w:tc>
          <w:tcPr>
            <w:tcW w:w="2490" w:type="dxa"/>
            <w:vAlign w:val="center"/>
          </w:tcPr>
          <w:p w14:paraId="693E0AF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元曲中的散曲（小令）</w:t>
            </w:r>
          </w:p>
        </w:tc>
      </w:tr>
    </w:tbl>
    <w:p w14:paraId="45538DB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AE5DD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任务二：遇见·四季之美</w:t>
      </w:r>
    </w:p>
    <w:p w14:paraId="24D24E7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展板第二展区为“遇见·四季之美”，工作人员准备将众多诗词根据季节设计四个板块，分别为“遇见·春”“遇见·夏”“遇见·秋”“遇见·冬”。《观沧海》《闻王昌龄左迁龙标遥有此寄》《次北固山下》《天净沙·秋思》这四首诗歌，你觉得分别应该放在第二展区的哪个板块?请结合诗意和意象，陈述理由。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06"/>
        <w:gridCol w:w="3306"/>
        <w:gridCol w:w="3307"/>
      </w:tblGrid>
      <w:tr w14:paraId="14B65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3306" w:type="dxa"/>
            <w:vAlign w:val="center"/>
          </w:tcPr>
          <w:p w14:paraId="6F802B3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题目</w:t>
            </w:r>
          </w:p>
        </w:tc>
        <w:tc>
          <w:tcPr>
            <w:tcW w:w="3306" w:type="dxa"/>
            <w:vAlign w:val="center"/>
          </w:tcPr>
          <w:p w14:paraId="39359B4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景</w:t>
            </w:r>
          </w:p>
        </w:tc>
        <w:tc>
          <w:tcPr>
            <w:tcW w:w="3307" w:type="dxa"/>
            <w:vAlign w:val="center"/>
          </w:tcPr>
          <w:p w14:paraId="5878F05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板块</w:t>
            </w:r>
          </w:p>
        </w:tc>
      </w:tr>
      <w:tr w14:paraId="1E10C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3306" w:type="dxa"/>
            <w:vAlign w:val="center"/>
          </w:tcPr>
          <w:p w14:paraId="3C2390C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《观沧海》</w:t>
            </w:r>
          </w:p>
        </w:tc>
        <w:tc>
          <w:tcPr>
            <w:tcW w:w="3306" w:type="dxa"/>
            <w:vAlign w:val="center"/>
          </w:tcPr>
          <w:p w14:paraId="02A4C3E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307" w:type="dxa"/>
            <w:vAlign w:val="center"/>
          </w:tcPr>
          <w:p w14:paraId="001AC8D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2BE9A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3306" w:type="dxa"/>
            <w:vAlign w:val="center"/>
          </w:tcPr>
          <w:p w14:paraId="13CB10D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《次北固山下》</w:t>
            </w:r>
          </w:p>
        </w:tc>
        <w:tc>
          <w:tcPr>
            <w:tcW w:w="3306" w:type="dxa"/>
            <w:vAlign w:val="center"/>
          </w:tcPr>
          <w:p w14:paraId="2A269BF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307" w:type="dxa"/>
            <w:vAlign w:val="center"/>
          </w:tcPr>
          <w:p w14:paraId="1753F73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615D7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3306" w:type="dxa"/>
            <w:vAlign w:val="center"/>
          </w:tcPr>
          <w:p w14:paraId="74C46D7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《闻王昌龄左迁龙标遥有此寄》</w:t>
            </w:r>
          </w:p>
        </w:tc>
        <w:tc>
          <w:tcPr>
            <w:tcW w:w="3306" w:type="dxa"/>
            <w:vAlign w:val="center"/>
          </w:tcPr>
          <w:p w14:paraId="2721376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307" w:type="dxa"/>
            <w:vAlign w:val="center"/>
          </w:tcPr>
          <w:p w14:paraId="1B2E8A2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55544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3306" w:type="dxa"/>
            <w:vAlign w:val="center"/>
          </w:tcPr>
          <w:p w14:paraId="1B0C4DC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《天净沙·秋思》</w:t>
            </w:r>
          </w:p>
        </w:tc>
        <w:tc>
          <w:tcPr>
            <w:tcW w:w="3306" w:type="dxa"/>
            <w:vAlign w:val="center"/>
          </w:tcPr>
          <w:p w14:paraId="59C325F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307" w:type="dxa"/>
            <w:vAlign w:val="center"/>
          </w:tcPr>
          <w:p w14:paraId="470D808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</w:tbl>
    <w:p w14:paraId="2139252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057240A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052D068B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drawing>
          <wp:inline distT="0" distB="0" distL="114300" distR="114300">
            <wp:extent cx="5163820" cy="2780665"/>
            <wp:effectExtent l="0" t="0" r="2540" b="825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63820" cy="278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A6DB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661361C4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drawing>
          <wp:inline distT="0" distB="0" distL="114300" distR="114300">
            <wp:extent cx="4853305" cy="2376170"/>
            <wp:effectExtent l="0" t="0" r="8255" b="127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53305" cy="237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B86B27">
      <w:pPr>
        <w:tabs>
          <w:tab w:val="left" w:pos="4320"/>
        </w:tabs>
        <w:snapToGrid w:val="0"/>
        <w:spacing w:line="360" w:lineRule="auto"/>
        <w:ind w:firstLine="420" w:firstLineChars="200"/>
        <w:jc w:val="center"/>
      </w:pPr>
      <w:r>
        <w:drawing>
          <wp:inline distT="0" distB="0" distL="114300" distR="114300">
            <wp:extent cx="4919345" cy="2360295"/>
            <wp:effectExtent l="0" t="0" r="3175" b="1905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19345" cy="2360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F0D221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5076190" cy="2335530"/>
            <wp:effectExtent l="0" t="0" r="13970" b="11430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76190" cy="2335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06"/>
        <w:gridCol w:w="3306"/>
        <w:gridCol w:w="3307"/>
      </w:tblGrid>
      <w:tr w14:paraId="79C32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3306" w:type="dxa"/>
            <w:vAlign w:val="center"/>
          </w:tcPr>
          <w:p w14:paraId="0F8143C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题目</w:t>
            </w:r>
          </w:p>
        </w:tc>
        <w:tc>
          <w:tcPr>
            <w:tcW w:w="3306" w:type="dxa"/>
            <w:vAlign w:val="center"/>
          </w:tcPr>
          <w:p w14:paraId="2770268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景</w:t>
            </w:r>
          </w:p>
        </w:tc>
        <w:tc>
          <w:tcPr>
            <w:tcW w:w="3307" w:type="dxa"/>
            <w:vAlign w:val="center"/>
          </w:tcPr>
          <w:p w14:paraId="7E271E1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板块</w:t>
            </w:r>
          </w:p>
        </w:tc>
      </w:tr>
      <w:tr w14:paraId="2EED0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3306" w:type="dxa"/>
            <w:vAlign w:val="center"/>
          </w:tcPr>
          <w:p w14:paraId="4B47659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《观沧海》</w:t>
            </w:r>
          </w:p>
        </w:tc>
        <w:tc>
          <w:tcPr>
            <w:tcW w:w="3306" w:type="dxa"/>
            <w:vAlign w:val="center"/>
          </w:tcPr>
          <w:p w14:paraId="3C84C36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宏大秋景</w:t>
            </w:r>
          </w:p>
        </w:tc>
        <w:tc>
          <w:tcPr>
            <w:tcW w:w="3307" w:type="dxa"/>
            <w:vAlign w:val="center"/>
          </w:tcPr>
          <w:p w14:paraId="4AF8D53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遇见·秋</w:t>
            </w:r>
          </w:p>
        </w:tc>
      </w:tr>
      <w:tr w14:paraId="5EA95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3306" w:type="dxa"/>
            <w:vAlign w:val="center"/>
          </w:tcPr>
          <w:p w14:paraId="5BD8F68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《次北固山下》</w:t>
            </w:r>
          </w:p>
        </w:tc>
        <w:tc>
          <w:tcPr>
            <w:tcW w:w="3306" w:type="dxa"/>
            <w:vAlign w:val="center"/>
          </w:tcPr>
          <w:p w14:paraId="17D66BC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冬末春初之景</w:t>
            </w:r>
          </w:p>
        </w:tc>
        <w:tc>
          <w:tcPr>
            <w:tcW w:w="3307" w:type="dxa"/>
            <w:vAlign w:val="center"/>
          </w:tcPr>
          <w:p w14:paraId="22DCEAB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遇见·春</w:t>
            </w:r>
          </w:p>
        </w:tc>
      </w:tr>
      <w:tr w14:paraId="6802B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3306" w:type="dxa"/>
            <w:vAlign w:val="center"/>
          </w:tcPr>
          <w:p w14:paraId="6B9FC0B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《闻王昌龄左迁龙标遥有此寄》</w:t>
            </w:r>
          </w:p>
        </w:tc>
        <w:tc>
          <w:tcPr>
            <w:tcW w:w="3306" w:type="dxa"/>
            <w:vAlign w:val="center"/>
          </w:tcPr>
          <w:p w14:paraId="53DC128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暮春之景</w:t>
            </w:r>
          </w:p>
        </w:tc>
        <w:tc>
          <w:tcPr>
            <w:tcW w:w="3307" w:type="dxa"/>
            <w:vAlign w:val="center"/>
          </w:tcPr>
          <w:p w14:paraId="60D3373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遇见·春</w:t>
            </w:r>
          </w:p>
        </w:tc>
      </w:tr>
      <w:tr w14:paraId="141DD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3306" w:type="dxa"/>
            <w:vAlign w:val="center"/>
          </w:tcPr>
          <w:p w14:paraId="2A73EE4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《天净沙·秋思》</w:t>
            </w:r>
          </w:p>
        </w:tc>
        <w:tc>
          <w:tcPr>
            <w:tcW w:w="3306" w:type="dxa"/>
            <w:vAlign w:val="center"/>
          </w:tcPr>
          <w:p w14:paraId="6431EBB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凄凉秋景</w:t>
            </w:r>
          </w:p>
        </w:tc>
        <w:tc>
          <w:tcPr>
            <w:tcW w:w="3307" w:type="dxa"/>
            <w:vAlign w:val="center"/>
          </w:tcPr>
          <w:p w14:paraId="7422CFE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遇见·秋</w:t>
            </w:r>
          </w:p>
        </w:tc>
      </w:tr>
    </w:tbl>
    <w:p w14:paraId="4584A43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2E75E451">
      <w:pPr>
        <w:tabs>
          <w:tab w:val="left" w:pos="4320"/>
        </w:tabs>
        <w:snapToGrid w:val="0"/>
        <w:spacing w:line="360" w:lineRule="auto"/>
        <w:ind w:firstLine="422" w:firstLineChars="200"/>
        <w:jc w:val="center"/>
        <w:rPr>
          <w:rFonts w:hint="default" w:ascii="宋体" w:hAnsi="宋体" w:eastAsia="宋体" w:cs="宋体"/>
          <w:b/>
          <w:bCs/>
          <w:color w:val="000000"/>
          <w:szCs w:val="21"/>
          <w:lang w:val="en-US" w:eastAsia="zh-CN"/>
        </w:rPr>
      </w:pPr>
    </w:p>
    <w:p w14:paraId="30110A94">
      <w:pPr>
        <w:tabs>
          <w:tab w:val="left" w:pos="4320"/>
        </w:tabs>
        <w:snapToGrid w:val="0"/>
        <w:spacing w:line="360" w:lineRule="auto"/>
        <w:ind w:firstLine="422" w:firstLineChars="200"/>
        <w:jc w:val="center"/>
        <w:rPr>
          <w:rFonts w:hint="default" w:ascii="宋体" w:hAnsi="宋体" w:eastAsia="宋体" w:cs="宋体"/>
          <w:b/>
          <w:bCs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b/>
          <w:bCs/>
          <w:color w:val="000000"/>
          <w:szCs w:val="21"/>
          <w:lang w:val="en-US" w:eastAsia="zh-CN"/>
        </w:rPr>
        <w:t>第二课时</w:t>
      </w:r>
    </w:p>
    <w:p w14:paraId="4DF900B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eastAsia="zh-CN"/>
        </w:rPr>
      </w:pPr>
    </w:p>
    <w:p w14:paraId="7B117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任务三：涵泳·感悟哲思</w:t>
      </w:r>
    </w:p>
    <w:p w14:paraId="79F7492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展板第三展区为“涵泳·感悟哲思”。“诗言志”，工作人员为了帮助大家解读诗歌所寄寓的情感特设置本展区，请你根据提示帮助其完成《古代诗歌四首》的相应解读任务。</w:t>
      </w:r>
    </w:p>
    <w:p w14:paraId="759BA96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【解读提示】</w:t>
      </w:r>
    </w:p>
    <w:p w14:paraId="4C49A66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2298065</wp:posOffset>
                </wp:positionH>
                <wp:positionV relativeFrom="paragraph">
                  <wp:posOffset>249555</wp:posOffset>
                </wp:positionV>
                <wp:extent cx="3794760" cy="670560"/>
                <wp:effectExtent l="6350" t="6350" r="24130" b="8890"/>
                <wp:wrapNone/>
                <wp:docPr id="12" name="折角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94760" cy="670560"/>
                        </a:xfrm>
                        <a:prstGeom prst="foldedCorner">
                          <a:avLst/>
                        </a:prstGeom>
                        <a:noFill/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B38B60">
                            <w:pPr>
                              <w:rPr>
                                <w:rFonts w:hint="eastAsia" w:ascii="楷体" w:hAnsi="楷体" w:eastAsia="楷体" w:cs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角度二：抓住意象。意象是融入诗人思想感情的“物象”，是富有某种特殊含义和文学意味的具体形象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5" type="#_x0000_t65" style="position:absolute;left:0pt;margin-left:180.95pt;margin-top:19.65pt;height:52.8pt;width:298.8pt;z-index:251661312;v-text-anchor:middle;mso-width-relative:page;mso-height-relative:page;" filled="f" stroked="t" coordsize="21600,21600" o:gfxdata="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AJwzSW2wAAAAoBAAAPAAAAAAAAAAEAIAAAACIAAABkcnMv&#10;ZG93bnJldi54bWxQSwECFAAUAAAACACHTuJAGOrFF3ICAADJBAAADgAAAAAAAAABACAAAAAqAQAA&#10;ZHJzL2Uyb0RvYy54bWxQSwUGAAAAAAYABgBZAQAADgYAAAAA&#10;" adj="18000">
                <v:fill on="f" focussize="0,0"/>
                <v:stroke weight="1pt" color="#FFC000 [2404]" miterlimit="8" joinstyle="miter"/>
                <v:imagedata o:title=""/>
                <o:lock v:ext="edit" aspectratio="f"/>
                <v:textbox>
                  <w:txbxContent>
                    <w:p w14:paraId="3FB38B60">
                      <w:pPr>
                        <w:rPr>
                          <w:rFonts w:hint="eastAsia" w:ascii="楷体" w:hAnsi="楷体" w:eastAsia="楷体" w:cs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楷体" w:hAnsi="楷体" w:eastAsia="楷体" w:cs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角度二：抓住意象。意象是融入诗人思想感情的“物象”，是富有某种特殊含义和文学意味的具体形象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解读诗歌中寄寓的情感，可以从一下角度切入——</w:t>
      </w:r>
    </w:p>
    <w:p w14:paraId="362728B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316865</wp:posOffset>
                </wp:positionH>
                <wp:positionV relativeFrom="paragraph">
                  <wp:posOffset>13335</wp:posOffset>
                </wp:positionV>
                <wp:extent cx="1806575" cy="640080"/>
                <wp:effectExtent l="6350" t="6350" r="31115" b="8890"/>
                <wp:wrapNone/>
                <wp:docPr id="11" name="折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02665" y="1705610"/>
                          <a:ext cx="1806575" cy="640080"/>
                        </a:xfrm>
                        <a:prstGeom prst="foldedCorner">
                          <a:avLst/>
                        </a:prstGeom>
                        <a:noFill/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6C3C02">
                            <w:pPr>
                              <w:jc w:val="center"/>
                              <w:rPr>
                                <w:rFonts w:hint="eastAsia" w:ascii="楷体" w:hAnsi="楷体" w:eastAsia="楷体" w:cs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角度一：知人论世。了解作者、写作背景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5" type="#_x0000_t65" style="position:absolute;left:0pt;margin-left:24.95pt;margin-top:1.05pt;height:50.4pt;width:142.25pt;z-index:251660288;v-text-anchor:middle;mso-width-relative:page;mso-height-relative:page;" filled="f" stroked="t" coordsize="21600,21600" o:gfxdata="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BqJYUT2gAAAAgBAAAPAAAAAAAAAAEAIAAA&#10;ACIAAABkcnMvZG93bnJldi54bWxQSwECFAAUAAAACACHTuJAny+vZ3wCAADVBAAADgAAAAAAAAAB&#10;ACAAAAApAQAAZHJzL2Uyb0RvYy54bWxQSwUGAAAAAAYABgBZAQAAFwYAAAAA&#10;" adj="18000">
                <v:fill on="f" focussize="0,0"/>
                <v:stroke weight="1pt" color="#FFC000 [2404]" miterlimit="8" joinstyle="miter"/>
                <v:imagedata o:title=""/>
                <o:lock v:ext="edit" aspectratio="f"/>
                <v:textbox>
                  <w:txbxContent>
                    <w:p w14:paraId="5A6C3C02">
                      <w:pPr>
                        <w:jc w:val="center"/>
                        <w:rPr>
                          <w:rFonts w:hint="eastAsia" w:ascii="楷体" w:hAnsi="楷体" w:eastAsia="楷体" w:cs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楷体" w:hAnsi="楷体" w:eastAsia="楷体" w:cs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角度一：知人论世。了解作者、写作背景</w:t>
                      </w:r>
                    </w:p>
                  </w:txbxContent>
                </v:textbox>
              </v:shape>
            </w:pict>
          </mc:Fallback>
        </mc:AlternateContent>
      </w:r>
    </w:p>
    <w:p w14:paraId="220CC34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2B01E1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4340225</wp:posOffset>
                </wp:positionH>
                <wp:positionV relativeFrom="paragraph">
                  <wp:posOffset>256540</wp:posOffset>
                </wp:positionV>
                <wp:extent cx="1837055" cy="640080"/>
                <wp:effectExtent l="6350" t="6350" r="31115" b="8890"/>
                <wp:wrapNone/>
                <wp:docPr id="17" name="折角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7055" cy="640080"/>
                        </a:xfrm>
                        <a:prstGeom prst="foldedCorner">
                          <a:avLst/>
                        </a:prstGeom>
                        <a:noFill/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96BE65">
                            <w:pPr>
                              <w:rPr>
                                <w:rFonts w:hint="eastAsia" w:ascii="楷体" w:hAnsi="楷体" w:eastAsia="楷体" w:cs="楷体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5" type="#_x0000_t65" style="position:absolute;left:0pt;margin-left:341.75pt;margin-top:20.2pt;height:50.4pt;width:144.65pt;z-index:251664384;v-text-anchor:middle;mso-width-relative:page;mso-height-relative:page;" filled="f" stroked="t" coordsize="21600,21600" o:gfxdata="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u6MByNsAAAAKAQAADwAAAAAAAAABACAAAAAiAAAAZHJz&#10;L2Rvd25yZXYueG1sUEsBAhQAFAAAAAgAh07iQO2npBxzAgAAyQQAAA4AAAAAAAAAAQAgAAAAKgEA&#10;AGRycy9lMm9Eb2MueG1sUEsFBgAAAAAGAAYAWQEAAA8GAAAAAA==&#10;" adj="18000">
                <v:fill on="f" focussize="0,0"/>
                <v:stroke weight="1pt" color="#FFC000 [2404]" miterlimit="8" joinstyle="miter"/>
                <v:imagedata o:title=""/>
                <o:lock v:ext="edit" aspectratio="f"/>
                <v:textbox>
                  <w:txbxContent>
                    <w:p w14:paraId="6596BE65">
                      <w:pPr>
                        <w:rPr>
                          <w:rFonts w:hint="eastAsia" w:ascii="楷体" w:hAnsi="楷体" w:eastAsia="楷体" w:cs="楷体"/>
                          <w:color w:val="000000" w:themeColor="text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楷体" w:hAnsi="楷体" w:eastAsia="楷体" w:cs="楷体"/>
                          <w:color w:val="000000" w:themeColor="text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12180D8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316865</wp:posOffset>
                </wp:positionH>
                <wp:positionV relativeFrom="paragraph">
                  <wp:posOffset>19685</wp:posOffset>
                </wp:positionV>
                <wp:extent cx="1806575" cy="640080"/>
                <wp:effectExtent l="6350" t="6350" r="31115" b="8890"/>
                <wp:wrapNone/>
                <wp:docPr id="13" name="折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6575" cy="640080"/>
                        </a:xfrm>
                        <a:prstGeom prst="foldedCorner">
                          <a:avLst/>
                        </a:prstGeom>
                        <a:noFill/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1DD277">
                            <w:pPr>
                              <w:rPr>
                                <w:rFonts w:hint="eastAsia" w:ascii="楷体" w:hAnsi="楷体" w:eastAsia="楷体" w:cs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角度三：抓住精妙字词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5" type="#_x0000_t65" style="position:absolute;left:0pt;margin-left:24.95pt;margin-top:1.55pt;height:50.4pt;width:142.25pt;z-index:251662336;v-text-anchor:middle;mso-width-relative:page;mso-height-relative:page;" filled="f" stroked="t" coordsize="21600,21600" o:gfxdata="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M7javvZAAAACAEAAA8AAAAAAAAAAQAgAAAAIgAAAGRycy9k&#10;b3ducmV2LnhtbFBLAQIUABQAAAAIAIdO4kBitzQGcwIAAMkEAAAOAAAAAAAAAAEAIAAAACgBAABk&#10;cnMvZTJvRG9jLnhtbFBLBQYAAAAABgAGAFkBAAANBgAAAAA=&#10;" adj="18000">
                <v:fill on="f" focussize="0,0"/>
                <v:stroke weight="1pt" color="#FFC000 [2404]" miterlimit="8" joinstyle="miter"/>
                <v:imagedata o:title=""/>
                <o:lock v:ext="edit" aspectratio="f"/>
                <v:textbox>
                  <w:txbxContent>
                    <w:p w14:paraId="211DD277">
                      <w:pPr>
                        <w:rPr>
                          <w:rFonts w:hint="eastAsia" w:ascii="楷体" w:hAnsi="楷体" w:eastAsia="楷体" w:cs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楷体" w:hAnsi="楷体" w:eastAsia="楷体" w:cs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角度三：抓住精妙字词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2290445</wp:posOffset>
                </wp:positionH>
                <wp:positionV relativeFrom="paragraph">
                  <wp:posOffset>4445</wp:posOffset>
                </wp:positionV>
                <wp:extent cx="1837055" cy="640080"/>
                <wp:effectExtent l="6350" t="6350" r="31115" b="8890"/>
                <wp:wrapNone/>
                <wp:docPr id="14" name="折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7055" cy="640080"/>
                        </a:xfrm>
                        <a:prstGeom prst="foldedCorner">
                          <a:avLst/>
                        </a:prstGeom>
                        <a:noFill/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F10992">
                            <w:pPr>
                              <w:rPr>
                                <w:rFonts w:hint="eastAsia" w:ascii="楷体" w:hAnsi="楷体" w:eastAsia="楷体" w:cs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角度</w:t>
                            </w:r>
                            <w:r>
                              <w:rPr>
                                <w:rFonts w:hint="eastAsia" w:ascii="楷体" w:hAnsi="楷体" w:eastAsia="楷体" w:cs="楷体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四</w:t>
                            </w:r>
                            <w:r>
                              <w:rPr>
                                <w:rFonts w:hint="eastAsia" w:ascii="楷体" w:hAnsi="楷体" w:eastAsia="楷体" w:cs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：关注注意意象堆叠、组合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5" type="#_x0000_t65" style="position:absolute;left:0pt;margin-left:180.35pt;margin-top:0.35pt;height:50.4pt;width:144.65pt;z-index:251663360;v-text-anchor:middle;mso-width-relative:page;mso-height-relative:page;" filled="f" stroked="t" coordsize="21600,21600" o:gfxdata="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KPNwZPZAAAACAEAAA8AAAAAAAAAAQAgAAAAIgAAAGRycy9k&#10;b3ducmV2LnhtbFBLAQIUABQAAAAIAIdO4kD7LrnrcwIAAMkEAAAOAAAAAAAAAAEAIAAAACgBAABk&#10;cnMvZTJvRG9jLnhtbFBLBQYAAAAABgAGAFkBAAANBgAAAAA=&#10;" adj="18000">
                <v:fill on="f" focussize="0,0"/>
                <v:stroke weight="1pt" color="#FFC000 [2404]" miterlimit="8" joinstyle="miter"/>
                <v:imagedata o:title=""/>
                <o:lock v:ext="edit" aspectratio="f"/>
                <v:textbox>
                  <w:txbxContent>
                    <w:p w14:paraId="32F10992">
                      <w:pPr>
                        <w:rPr>
                          <w:rFonts w:hint="eastAsia" w:ascii="楷体" w:hAnsi="楷体" w:eastAsia="楷体" w:cs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楷体" w:hAnsi="楷体" w:eastAsia="楷体" w:cs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角度</w:t>
                      </w:r>
                      <w:r>
                        <w:rPr>
                          <w:rFonts w:hint="eastAsia" w:ascii="楷体" w:hAnsi="楷体" w:eastAsia="楷体" w:cs="楷体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四</w:t>
                      </w:r>
                      <w:r>
                        <w:rPr>
                          <w:rFonts w:hint="eastAsia" w:ascii="楷体" w:hAnsi="楷体" w:eastAsia="楷体" w:cs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：关注注意意象堆叠、组合</w:t>
                      </w:r>
                    </w:p>
                  </w:txbxContent>
                </v:textbox>
              </v:shape>
            </w:pict>
          </mc:Fallback>
        </mc:AlternateContent>
      </w:r>
    </w:p>
    <w:p w14:paraId="6289EEC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DF581F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6926F8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1.《观沧海》与《天净沙·秋思》都是写秋景。《次北固山下》和《闻王昌龄左迁龙标遥有此寄》都写春景，为何在诗人笔下同一季节的景物却有这么大的不同?请联系“写作背景”进行解说。</w:t>
      </w:r>
    </w:p>
    <w:p w14:paraId="79E1957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【背景资料一】</w:t>
      </w:r>
    </w:p>
    <w:p w14:paraId="75775B7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《观沧海》是曹操诗《步出夏门行》的第一章，是曹操北征乌桓得胜回师途中所作。公元207年，曹操亲率大军北上追歼袁绍残部。大战之后，身为主帅的曹操，登上当年秦皇汉武也曾登过的碣石山，又当秋风萧瑟之际，他的心情像沧海一样难以平静。他将自己宏伟的抱负、阔大的胸襟融汇到诗歌里，借着大海的形象表现出来，写下了这首壮丽的诗篇。</w:t>
      </w:r>
    </w:p>
    <w:p w14:paraId="01313C9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【背景资料二】</w:t>
      </w:r>
    </w:p>
    <w:p w14:paraId="55D35EE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马致远少年时热衷功名，但由于元统治者执行民族高压政策，因而一直未能得志，一生几乎都过着漂泊无定、困窘潦倒的羁旅生活。《天净沙·秋思》这首小令正是他一生真实而生动的写照。</w:t>
      </w:r>
    </w:p>
    <w:p w14:paraId="1F94DBF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【背景资料三】</w:t>
      </w:r>
    </w:p>
    <w:p w14:paraId="66780A8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古时交通不发达，流落外乡或在外任职的人久不得归，自然会产生故园之思，因此乡愁成了古诗中一个重要的主题。诗人王湾是洛阳人，先天元年（712）中了进士，以后曾往来于吴、楚之间，不得归家。《次北固山下》这首诗是他一路行来，泊船北固山下，触发思乡之情而写下的。</w:t>
      </w:r>
    </w:p>
    <w:p w14:paraId="5683232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【背景资料四】</w:t>
      </w:r>
    </w:p>
    <w:p w14:paraId="05ADE95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王昌龄的仕途屡经挫折，数次遭贬，天宝年间被贬为龙标尉。李白在东南地区漫游期间，得悉王昌龄这次的不幸遭遇，深表同情和关切，当即写了《闻王昌龄左迁龙标遥有此寄》遥寄给他，以带去一点慰藉，分担他的愁苦。</w:t>
      </w:r>
    </w:p>
    <w:p w14:paraId="18D3E36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6E7BA1C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“一切景语皆情语”景物的背后是诗人寄寓的情感，“情动于中而形于言”情不同，景就不同，这是诗歌的一大特点——情景交融。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06"/>
        <w:gridCol w:w="3306"/>
        <w:gridCol w:w="3307"/>
      </w:tblGrid>
      <w:tr w14:paraId="2809B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3306" w:type="dxa"/>
            <w:vAlign w:val="center"/>
          </w:tcPr>
          <w:p w14:paraId="2B8110F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题目</w:t>
            </w:r>
          </w:p>
        </w:tc>
        <w:tc>
          <w:tcPr>
            <w:tcW w:w="3306" w:type="dxa"/>
            <w:vAlign w:val="center"/>
          </w:tcPr>
          <w:p w14:paraId="558193A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景景不同</w:t>
            </w:r>
          </w:p>
        </w:tc>
        <w:tc>
          <w:tcPr>
            <w:tcW w:w="3307" w:type="dxa"/>
            <w:vAlign w:val="center"/>
          </w:tcPr>
          <w:p w14:paraId="0D3CFD5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情不同</w:t>
            </w:r>
          </w:p>
        </w:tc>
      </w:tr>
      <w:tr w14:paraId="0532E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3306" w:type="dxa"/>
            <w:vAlign w:val="center"/>
          </w:tcPr>
          <w:p w14:paraId="47884C3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《观沧海》</w:t>
            </w:r>
          </w:p>
        </w:tc>
        <w:tc>
          <w:tcPr>
            <w:tcW w:w="3306" w:type="dxa"/>
            <w:vAlign w:val="center"/>
          </w:tcPr>
          <w:p w14:paraId="6B7D964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宏大秋景</w:t>
            </w:r>
          </w:p>
        </w:tc>
        <w:tc>
          <w:tcPr>
            <w:tcW w:w="3307" w:type="dxa"/>
            <w:vAlign w:val="center"/>
          </w:tcPr>
          <w:p w14:paraId="5B289E8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壮志满怀</w:t>
            </w:r>
          </w:p>
        </w:tc>
      </w:tr>
      <w:tr w14:paraId="480F0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3306" w:type="dxa"/>
            <w:vAlign w:val="center"/>
          </w:tcPr>
          <w:p w14:paraId="2741495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《次北固山下》</w:t>
            </w:r>
          </w:p>
        </w:tc>
        <w:tc>
          <w:tcPr>
            <w:tcW w:w="3306" w:type="dxa"/>
            <w:vAlign w:val="center"/>
          </w:tcPr>
          <w:p w14:paraId="490BF7F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冬末春初之景</w:t>
            </w:r>
          </w:p>
        </w:tc>
        <w:tc>
          <w:tcPr>
            <w:tcW w:w="3307" w:type="dxa"/>
            <w:vAlign w:val="center"/>
          </w:tcPr>
          <w:p w14:paraId="744C507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思乡心切</w:t>
            </w:r>
          </w:p>
        </w:tc>
      </w:tr>
      <w:tr w14:paraId="2C2B2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3306" w:type="dxa"/>
            <w:vAlign w:val="center"/>
          </w:tcPr>
          <w:p w14:paraId="54955DB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《闻王昌龄左迁龙标遥有此寄》</w:t>
            </w:r>
          </w:p>
        </w:tc>
        <w:tc>
          <w:tcPr>
            <w:tcW w:w="3306" w:type="dxa"/>
            <w:vAlign w:val="center"/>
          </w:tcPr>
          <w:p w14:paraId="5881172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暮春之景</w:t>
            </w:r>
          </w:p>
        </w:tc>
        <w:tc>
          <w:tcPr>
            <w:tcW w:w="3307" w:type="dxa"/>
            <w:vAlign w:val="center"/>
          </w:tcPr>
          <w:p w14:paraId="70FF4B0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关切友人</w:t>
            </w:r>
          </w:p>
        </w:tc>
      </w:tr>
      <w:tr w14:paraId="01BE4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3306" w:type="dxa"/>
            <w:vAlign w:val="center"/>
          </w:tcPr>
          <w:p w14:paraId="16CD016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《天净沙·秋思》</w:t>
            </w:r>
          </w:p>
        </w:tc>
        <w:tc>
          <w:tcPr>
            <w:tcW w:w="3306" w:type="dxa"/>
            <w:vAlign w:val="center"/>
          </w:tcPr>
          <w:p w14:paraId="3B8F166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凄凉秋景</w:t>
            </w:r>
          </w:p>
        </w:tc>
        <w:tc>
          <w:tcPr>
            <w:tcW w:w="3307" w:type="dxa"/>
            <w:vAlign w:val="center"/>
          </w:tcPr>
          <w:p w14:paraId="67B1200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游子之悲</w:t>
            </w:r>
          </w:p>
        </w:tc>
      </w:tr>
    </w:tbl>
    <w:p w14:paraId="57FF14D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</w:p>
    <w:p w14:paraId="6F920C4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2.反复诵读《观沧海》，想象诗人登山临海的情景，说说你产生了怎样的感觉。</w:t>
      </w:r>
    </w:p>
    <w:p w14:paraId="4994F52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预设：诗中选取的景物都具有宏大的特点，如“沧海” “洪波”“日月”“星汉”等，都是远观之景。设想我们处在这样的情境中，所观之景尽是宏观之景、浩大之景，远望沧海的波澜，仰望天上的星月，眼界为之开阔，胸怀为之宽广。这就是壮美的感觉。</w:t>
      </w:r>
    </w:p>
    <w:p w14:paraId="17DD7FE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3.《观沧海》中最能反映了作者感情的是那一句？是如何表现诗人情感的？</w:t>
      </w:r>
    </w:p>
    <w:p w14:paraId="480F422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25E01B7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“日月之行，若出其中；星汉灿烂，若出其里”</w:t>
      </w:r>
    </w:p>
    <w:p w14:paraId="3A33AD4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借景抒情，情景交融，借奇特的想象描绘大海吞吐日月、包蕴万千的宏伟景象，表现出诗人博大的胸怀，抒发了诗人想进一步统一全国的雄心壮志。</w:t>
      </w:r>
    </w:p>
    <w:p w14:paraId="25D54E5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4.古诗常常借助特定的意象来表情达意。《闻王昌龄左迁龙标遥有此寄》这首诗中的“杨花”和“子规”有什么深意?</w:t>
      </w:r>
    </w:p>
    <w:p w14:paraId="7DF0EAD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【资料助读】</w:t>
      </w:r>
    </w:p>
    <w:p w14:paraId="33B5B9B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杨花:柳絮,漂泊无定。指杨花落尽，百花凋零的暮春景象。</w:t>
      </w:r>
    </w:p>
    <w:p w14:paraId="1966353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子规:杜鹃鸟,其叫声为“不如归去”。相传这种鸟是蜀王杜宇的精魂所化，鸣声异常凄切动人。</w:t>
      </w:r>
    </w:p>
    <w:p w14:paraId="108CF35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079459A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诗人选取这两个景物，一是取其季节的意义,表明事情发生的时令;二是取其形象意义,二者都是有形之物,给读者以画面感;三是取其象征意义,杨花飘忽不定,行游无踪,暗喻征人前途命运未卜,子规常鸣“不如归去”,借用来关怀跋山涉水、远走他乡的友人王昌龄。</w:t>
      </w:r>
    </w:p>
    <w:p w14:paraId="53B24BC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5.《闻王昌龄左迁龙标遥有此寄》中“我寄愁心与明月”中“愁”字有何表达效果？</w:t>
      </w:r>
    </w:p>
    <w:p w14:paraId="60B616C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1196815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“愁”字既有对老友遭遇的深刻忧虑，也有对现实的悲愤不平，有恳切的思念，也有热忱的关怀。</w:t>
      </w:r>
    </w:p>
    <w:p w14:paraId="0467E11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6.王湾以一首《次北固山下》立于唐代优秀诗人之列,这首诗的魅力何在?</w:t>
      </w:r>
    </w:p>
    <w:p w14:paraId="35AEAFC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280FB18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“潮平两岸阔,风正一帆悬”,这一句所写的景象很壮阔。</w:t>
      </w:r>
    </w:p>
    <w:p w14:paraId="074D2BF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“海日生残夜,江春入旧年”,这一句所写的景象很有哲理。</w:t>
      </w:r>
    </w:p>
    <w:p w14:paraId="6A41F20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“乡书何处达?归雁洛阳边”,这一句所抒发的乡愁很打动人心。</w:t>
      </w:r>
    </w:p>
    <w:p w14:paraId="477ACB0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7.《次北固山下》是一首五律,律诗的中间两联要求对偶。抓住精妙字词赏析对偶联。</w:t>
      </w:r>
    </w:p>
    <w:p w14:paraId="1AA7E38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7B2C886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颔联“潮平两岸阔,风正一帆悬。”写船上所见景色,“平”“阔”“正”“悬”四字炼得很好:“潮平”,两岸才显得宽阔;“风正”,帆才有悬空的态势。</w:t>
      </w:r>
    </w:p>
    <w:p w14:paraId="27FC701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颈联“海日生残夜,江春入旧年。”既写景又点明了时令,“残夜”指夜将尽未尽之际,海上已经涌出一轮红日,江上已有春意,而旧年还没有过完。两个动词“生”“入”非常传神,将残夜孕育海日,新年送走旧年的哲理表现出来。</w:t>
      </w:r>
    </w:p>
    <w:p w14:paraId="3E3B7BC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8.同样是表达乡愁,《天净沙·秋思》这首散曲和《次北固山下》,哪一首诗的愁绪更浓重一些?如果用色彩去表现,你分别会用什么色调?请简述理由。</w:t>
      </w:r>
    </w:p>
    <w:p w14:paraId="2B80403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3E055C0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示例一：《天净沙·秋思》更浓重一些。诗人选取了特定的时间——黄昏(夕阳西下);选取了特定的景物——“枯藤”“老树”“昏鸦”“古道”“西风”“瘦马”,这些景物的共同特征就是沧桑、凄凉，用这些景物烘托出特定的愁苦氛围。</w:t>
      </w:r>
    </w:p>
    <w:p w14:paraId="27580E4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《次北固山下》也是在特定的时间——冬末春初,旧年将尽新年来临之际,“潮平两岸阔,风正一帆悬”让读者感受到诗人开阔的胸怀和雄放的激情,“海日生残夜,江春入旧年”则有一种积极向上的蓬勃之气。</w:t>
      </w:r>
    </w:p>
    <w:p w14:paraId="1838FBA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如果要用色彩去表现,《天净沙·秋思》我会选用色调偏暗的黄色;《次北固山下)我会选用蓝色、绿色。</w:t>
      </w:r>
    </w:p>
    <w:p w14:paraId="678BFEE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示例二：《天净沙·秋思》中“小桥”“流水”“人家”,可能是诗人眼前所见之景,别人的美好气氛更烘托出自己“古道”“西风”“瘦马”的落寞;也可能是诗人回忆中的故乡之景,与眼前“枯藤老树昏鸦”形成鲜明对比。我会用灰色调去表现。</w:t>
      </w:r>
    </w:p>
    <w:p w14:paraId="0570EDF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示例三：《天净沙·秋思》这首散曲里的抒情主人公是一个长期漂泊他乡的游子,他的喟叹是沉重的,一声“断肠人在天涯”,把无所归依的伤感与愁苦表现了出来。《次北固山下》“乡书何处达?归雁洛阳边”,诗人还可以通过书信传递自己的思乡之情,显然比散曲里的抒情主人公好多了。</w:t>
      </w:r>
    </w:p>
    <w:p w14:paraId="30E0D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任务四：吟诵·声韵传情</w:t>
      </w:r>
    </w:p>
    <w:p w14:paraId="2A16565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展板第四展区为“吟诵·声韵传情”。诵读古代优秀诗歌，可以让我们心灵得到滋润和净化，情感变得丰富。工作人员为了帮助大家感受诗歌的声韵美，准备将《古代诗歌四首》录制成朗诵视频，并制作成二维码链接让大家扫码观看，请你帮助其设计朗读脚本。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7"/>
        <w:gridCol w:w="4440"/>
      </w:tblGrid>
      <w:tr w14:paraId="5309C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787" w:type="dxa"/>
            <w:gridSpan w:val="2"/>
            <w:vAlign w:val="center"/>
          </w:tcPr>
          <w:p w14:paraId="70ECA32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朗 诵 任 务 卡</w:t>
            </w:r>
          </w:p>
        </w:tc>
      </w:tr>
      <w:tr w14:paraId="05452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5347" w:type="dxa"/>
            <w:vAlign w:val="center"/>
          </w:tcPr>
          <w:p w14:paraId="58D8FDB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朗读设计</w:t>
            </w:r>
          </w:p>
          <w:p w14:paraId="50FD2DC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画出重音、停顿，并设计朗读的体态、手势、表情等。</w:t>
            </w:r>
          </w:p>
        </w:tc>
        <w:tc>
          <w:tcPr>
            <w:tcW w:w="4440" w:type="dxa"/>
            <w:vAlign w:val="center"/>
          </w:tcPr>
          <w:p w14:paraId="1E408F1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431EF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5347" w:type="dxa"/>
            <w:vAlign w:val="center"/>
          </w:tcPr>
          <w:p w14:paraId="25EAB10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朗读说明</w:t>
            </w:r>
          </w:p>
          <w:p w14:paraId="4071F5C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结合诗歌内容说明朗读设计的理由</w:t>
            </w:r>
          </w:p>
        </w:tc>
        <w:tc>
          <w:tcPr>
            <w:tcW w:w="4440" w:type="dxa"/>
            <w:vAlign w:val="center"/>
          </w:tcPr>
          <w:p w14:paraId="420B9BC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41396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5347" w:type="dxa"/>
            <w:vAlign w:val="center"/>
          </w:tcPr>
          <w:p w14:paraId="2ECDCF5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朗读配乐</w:t>
            </w:r>
          </w:p>
          <w:p w14:paraId="1909EF3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根据诗歌的内容、情感或意境,选择恰当的朗诵配乐。</w:t>
            </w:r>
          </w:p>
        </w:tc>
        <w:tc>
          <w:tcPr>
            <w:tcW w:w="4440" w:type="dxa"/>
            <w:vAlign w:val="center"/>
          </w:tcPr>
          <w:p w14:paraId="58AB59A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639E2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5347" w:type="dxa"/>
            <w:vAlign w:val="center"/>
          </w:tcPr>
          <w:p w14:paraId="50399CD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朗读评价</w:t>
            </w:r>
          </w:p>
          <w:p w14:paraId="6104868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请其他小组为你点亮☆</w:t>
            </w:r>
          </w:p>
        </w:tc>
        <w:tc>
          <w:tcPr>
            <w:tcW w:w="4440" w:type="dxa"/>
            <w:vAlign w:val="center"/>
          </w:tcPr>
          <w:p w14:paraId="4B937F5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☆☆☆☆☆</w:t>
            </w:r>
          </w:p>
        </w:tc>
      </w:tr>
    </w:tbl>
    <w:p w14:paraId="0D9F1B4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tbl>
      <w:tblPr>
        <w:tblStyle w:val="8"/>
        <w:tblpPr w:leftFromText="180" w:rightFromText="180" w:vertAnchor="text" w:horzAnchor="page" w:tblpX="1069" w:tblpY="38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7524"/>
      </w:tblGrid>
      <w:tr w14:paraId="65CB1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787" w:type="dxa"/>
            <w:gridSpan w:val="2"/>
            <w:vAlign w:val="center"/>
          </w:tcPr>
          <w:p w14:paraId="7471C6E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朗 诵 任 务 卡</w:t>
            </w:r>
          </w:p>
        </w:tc>
      </w:tr>
      <w:tr w14:paraId="54AD9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263" w:type="dxa"/>
            <w:vAlign w:val="center"/>
          </w:tcPr>
          <w:p w14:paraId="2A874B3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朗读设计</w:t>
            </w:r>
          </w:p>
          <w:p w14:paraId="4908B37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画出重音、停顿，并设计朗读的体态、手势、表情等。</w:t>
            </w:r>
          </w:p>
        </w:tc>
        <w:tc>
          <w:tcPr>
            <w:tcW w:w="7524" w:type="dxa"/>
            <w:vAlign w:val="center"/>
          </w:tcPr>
          <w:p w14:paraId="32910FE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观沧海</w:t>
            </w:r>
          </w:p>
          <w:p w14:paraId="17DD5CC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曹操</w:t>
            </w:r>
          </w:p>
          <w:p w14:paraId="7FCDA8D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东临/碣石,以观/</w:t>
            </w:r>
            <w:r>
              <w:rPr>
                <w:rFonts w:hint="eastAsia" w:ascii="楷体" w:hAnsi="楷体" w:eastAsia="楷体" w:cs="楷体"/>
                <w:color w:val="000000"/>
                <w:kern w:val="2"/>
                <w:sz w:val="21"/>
                <w:szCs w:val="21"/>
                <w:em w:val="dot"/>
                <w:lang w:val="en-US" w:eastAsia="zh-CN" w:bidi="ar"/>
              </w:rPr>
              <w:t>沧海</w:t>
            </w: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。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(抬头目视远方，斗志满满,眼神坚定)</w:t>
            </w:r>
          </w:p>
          <w:p w14:paraId="30CAFBE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水何/澹澹,</w:t>
            </w:r>
            <w:r>
              <w:rPr>
                <w:rFonts w:hint="eastAsia" w:ascii="楷体" w:hAnsi="楷体" w:eastAsia="楷体" w:cs="楷体"/>
                <w:color w:val="000000"/>
                <w:kern w:val="2"/>
                <w:sz w:val="21"/>
                <w:szCs w:val="21"/>
                <w:em w:val="dot"/>
                <w:lang w:val="en-US" w:eastAsia="zh-CN" w:bidi="ar"/>
              </w:rPr>
              <w:t>山岛</w:t>
            </w: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/竦峙。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(右手慢慢向右上方举起,手心向上)</w:t>
            </w:r>
          </w:p>
          <w:p w14:paraId="19E2F5C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树木/丛生,</w:t>
            </w:r>
            <w:r>
              <w:rPr>
                <w:rFonts w:hint="eastAsia" w:ascii="楷体" w:hAnsi="楷体" w:eastAsia="楷体" w:cs="楷体"/>
                <w:color w:val="000000"/>
                <w:kern w:val="2"/>
                <w:sz w:val="21"/>
                <w:szCs w:val="21"/>
                <w:em w:val="dot"/>
                <w:lang w:val="en-US" w:eastAsia="zh-CN" w:bidi="ar"/>
              </w:rPr>
              <w:t>百草</w:t>
            </w: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/丰茂。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(右手缓缓落下,停在右胸前，手心向上)</w:t>
            </w:r>
          </w:p>
          <w:p w14:paraId="19095F5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秋风/萧瑟,</w:t>
            </w:r>
            <w:r>
              <w:rPr>
                <w:rFonts w:hint="eastAsia" w:ascii="楷体" w:hAnsi="楷体" w:eastAsia="楷体" w:cs="楷体"/>
                <w:color w:val="000000"/>
                <w:kern w:val="2"/>
                <w:sz w:val="21"/>
                <w:szCs w:val="21"/>
                <w:em w:val="dot"/>
                <w:lang w:val="en-US" w:eastAsia="zh-CN" w:bidi="ar"/>
              </w:rPr>
              <w:t>洪波</w:t>
            </w: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/涌起。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(右手慢慢将手心朝下,小幅左右移动)</w:t>
            </w:r>
          </w:p>
          <w:p w14:paraId="2A8756F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2"/>
                <w:sz w:val="21"/>
                <w:szCs w:val="21"/>
                <w:em w:val="dot"/>
                <w:lang w:val="en-US" w:eastAsia="zh-CN" w:bidi="ar"/>
              </w:rPr>
              <w:t>日月</w:t>
            </w: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/之行,若出/其中;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(语速稍加快,向左上方举手，不落下)</w:t>
            </w:r>
          </w:p>
          <w:p w14:paraId="2A0F6B8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2"/>
                <w:sz w:val="21"/>
                <w:szCs w:val="21"/>
                <w:em w:val="dot"/>
                <w:lang w:val="en-US" w:eastAsia="zh-CN" w:bidi="ar"/>
              </w:rPr>
              <w:t>星汉</w:t>
            </w: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/灿烂,若出/其里。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(向右上方举手,身体前倾,作豪迈之姿)</w:t>
            </w:r>
          </w:p>
          <w:p w14:paraId="4C8E3A9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幸甚/至哉,歌以/</w:t>
            </w:r>
            <w:r>
              <w:rPr>
                <w:rFonts w:hint="eastAsia" w:ascii="楷体" w:hAnsi="楷体" w:eastAsia="楷体" w:cs="楷体"/>
                <w:color w:val="000000"/>
                <w:kern w:val="2"/>
                <w:sz w:val="21"/>
                <w:szCs w:val="21"/>
                <w:em w:val="dot"/>
                <w:lang w:val="en-US" w:eastAsia="zh-CN" w:bidi="ar"/>
              </w:rPr>
              <w:t>咏志</w:t>
            </w: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。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(抬头目视前方,双手向正前方有力高举,眼神更为坚定)</w:t>
            </w:r>
          </w:p>
        </w:tc>
      </w:tr>
      <w:tr w14:paraId="0BE55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263" w:type="dxa"/>
            <w:vAlign w:val="center"/>
          </w:tcPr>
          <w:p w14:paraId="15B7DBA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朗读说明</w:t>
            </w:r>
          </w:p>
          <w:p w14:paraId="5E7FBDB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结合诗歌内容说明朗读设计的理由</w:t>
            </w:r>
          </w:p>
        </w:tc>
        <w:tc>
          <w:tcPr>
            <w:tcW w:w="7524" w:type="dxa"/>
            <w:vAlign w:val="center"/>
          </w:tcPr>
          <w:p w14:paraId="7129666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这是一首质朴刚健、音调铿锵的四言古诗。诗人用宏大的景物，让我们感受到秋日苍凉中的慷慨和豪情。“沧海”“洪波”“日月”“星汉”,都是远观之景、浩大之景,重读这些词语,突出诗人开阔的眼界和宽广的胸怀。所以在读到这些景物时,我们的手势是有力气的，表情都是坚定、充满斗志的。“日月之行,若出其中;星汉灿烂,若出其里”四句充满奇特的想象,把大海吞吐日月星辰的气概展现了出来,所以在这两句，我们稍加快节奏,左右手并上,期待能把这种气势更丰富地展现。最后我们把手势停留在“双手向正前方有力高举”,就是想把曹操的壮志满怀铿锵有力地表现出来。</w:t>
            </w:r>
          </w:p>
        </w:tc>
      </w:tr>
      <w:tr w14:paraId="7901A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2263" w:type="dxa"/>
            <w:vAlign w:val="center"/>
          </w:tcPr>
          <w:p w14:paraId="3BE6008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朗读配乐</w:t>
            </w:r>
          </w:p>
          <w:p w14:paraId="1E3BBE1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根据诗歌的内容、情感或意境,选择恰当的朗诵配乐。</w:t>
            </w:r>
          </w:p>
        </w:tc>
        <w:tc>
          <w:tcPr>
            <w:tcW w:w="7524" w:type="dxa"/>
            <w:vAlign w:val="center"/>
          </w:tcPr>
          <w:p w14:paraId="3455C39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配乐:骆集益《沧海龙吟》</w:t>
            </w:r>
          </w:p>
          <w:p w14:paraId="1D0D93B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曹操的《观沧海》描写了沧海宏大的景象，抒发了自己的豪情壮志。《沧海龙吟》曲调慷慨激昂,比较契合这首诗的情感基调,适宜作为诵读配乐。</w:t>
            </w:r>
          </w:p>
        </w:tc>
      </w:tr>
      <w:tr w14:paraId="220BC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2263" w:type="dxa"/>
            <w:vAlign w:val="center"/>
          </w:tcPr>
          <w:p w14:paraId="034DF88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朗读评价</w:t>
            </w:r>
          </w:p>
          <w:p w14:paraId="366B6CF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请其他小组为你点亮☆</w:t>
            </w:r>
          </w:p>
        </w:tc>
        <w:tc>
          <w:tcPr>
            <w:tcW w:w="7524" w:type="dxa"/>
            <w:vAlign w:val="center"/>
          </w:tcPr>
          <w:p w14:paraId="16E8C10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☆☆☆☆☆</w:t>
            </w:r>
          </w:p>
        </w:tc>
      </w:tr>
    </w:tbl>
    <w:p w14:paraId="39A0325D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color w:val="000000"/>
          <w:szCs w:val="21"/>
          <w:lang w:val="en-US" w:eastAsia="zh-CN"/>
        </w:rPr>
      </w:pPr>
    </w:p>
    <w:tbl>
      <w:tblPr>
        <w:tblStyle w:val="8"/>
        <w:tblpPr w:leftFromText="180" w:rightFromText="180" w:vertAnchor="text" w:horzAnchor="page" w:tblpX="1069" w:tblpY="38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7524"/>
      </w:tblGrid>
      <w:tr w14:paraId="75D4A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787" w:type="dxa"/>
            <w:gridSpan w:val="2"/>
            <w:vAlign w:val="center"/>
          </w:tcPr>
          <w:p w14:paraId="1B3CE4A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朗 诵 任 务 卡</w:t>
            </w:r>
          </w:p>
        </w:tc>
      </w:tr>
      <w:tr w14:paraId="643B7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263" w:type="dxa"/>
            <w:vAlign w:val="center"/>
          </w:tcPr>
          <w:p w14:paraId="6CCA001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朗读设计</w:t>
            </w:r>
          </w:p>
          <w:p w14:paraId="0267465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画出重音、停顿，并设计朗读的体态、手势、表情等。</w:t>
            </w:r>
          </w:p>
        </w:tc>
        <w:tc>
          <w:tcPr>
            <w:tcW w:w="7524" w:type="dxa"/>
            <w:vAlign w:val="center"/>
          </w:tcPr>
          <w:p w14:paraId="48B4155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次北固山下</w:t>
            </w:r>
          </w:p>
          <w:p w14:paraId="1FC6DD6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王湾</w:t>
            </w:r>
          </w:p>
          <w:p w14:paraId="52740E8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2"/>
                <w:sz w:val="21"/>
                <w:szCs w:val="21"/>
                <w:em w:val="dot"/>
                <w:lang w:val="en-US" w:eastAsia="zh-CN" w:bidi="ar"/>
              </w:rPr>
              <w:t>客路</w:t>
            </w: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/青山外，</w:t>
            </w:r>
            <w:r>
              <w:rPr>
                <w:rFonts w:hint="eastAsia" w:ascii="楷体" w:hAnsi="楷体" w:eastAsia="楷体" w:cs="楷体"/>
                <w:color w:val="000000"/>
                <w:kern w:val="2"/>
                <w:sz w:val="21"/>
                <w:szCs w:val="21"/>
                <w:em w:val="dot"/>
                <w:lang w:val="en-US" w:eastAsia="zh-CN" w:bidi="ar"/>
              </w:rPr>
              <w:t>行舟</w:t>
            </w: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 xml:space="preserve">/绿水前。 </w:t>
            </w: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（微微抬头，远望）</w:t>
            </w:r>
          </w:p>
          <w:p w14:paraId="357D5F4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2"/>
                <w:sz w:val="21"/>
                <w:szCs w:val="21"/>
                <w:em w:val="dot"/>
                <w:lang w:val="en-US" w:eastAsia="zh-CN" w:bidi="ar"/>
              </w:rPr>
              <w:t>潮平</w:t>
            </w: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/两岸</w:t>
            </w:r>
            <w:r>
              <w:rPr>
                <w:rFonts w:hint="eastAsia" w:ascii="楷体" w:hAnsi="楷体" w:eastAsia="楷体" w:cs="楷体"/>
                <w:color w:val="000000"/>
                <w:kern w:val="2"/>
                <w:sz w:val="21"/>
                <w:szCs w:val="21"/>
                <w:em w:val="dot"/>
                <w:lang w:val="en-US" w:eastAsia="zh-CN" w:bidi="ar"/>
              </w:rPr>
              <w:t>阔</w:t>
            </w: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，</w:t>
            </w:r>
            <w:r>
              <w:rPr>
                <w:rFonts w:hint="eastAsia" w:ascii="楷体" w:hAnsi="楷体" w:eastAsia="楷体" w:cs="楷体"/>
                <w:color w:val="000000"/>
                <w:kern w:val="2"/>
                <w:sz w:val="21"/>
                <w:szCs w:val="21"/>
                <w:em w:val="dot"/>
                <w:lang w:val="en-US" w:eastAsia="zh-CN" w:bidi="ar"/>
              </w:rPr>
              <w:t>风正</w:t>
            </w: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/一帆</w:t>
            </w:r>
            <w:r>
              <w:rPr>
                <w:rFonts w:hint="eastAsia" w:ascii="楷体" w:hAnsi="楷体" w:eastAsia="楷体" w:cs="楷体"/>
                <w:color w:val="000000"/>
                <w:kern w:val="2"/>
                <w:sz w:val="21"/>
                <w:szCs w:val="21"/>
                <w:em w:val="dot"/>
                <w:lang w:val="en-US" w:eastAsia="zh-CN" w:bidi="ar"/>
              </w:rPr>
              <w:t>悬</w:t>
            </w: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。</w:t>
            </w: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（双手向两侧伸展）</w:t>
            </w: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 xml:space="preserve"> </w:t>
            </w:r>
          </w:p>
          <w:p w14:paraId="2E00AA5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2"/>
                <w:sz w:val="21"/>
                <w:szCs w:val="21"/>
                <w:em w:val="dot"/>
                <w:lang w:val="en-US" w:eastAsia="zh-CN" w:bidi="ar"/>
              </w:rPr>
              <w:t>海日</w:t>
            </w: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/生</w:t>
            </w:r>
            <w:r>
              <w:rPr>
                <w:rFonts w:hint="eastAsia" w:ascii="楷体" w:hAnsi="楷体" w:eastAsia="楷体" w:cs="楷体"/>
                <w:color w:val="000000"/>
                <w:kern w:val="2"/>
                <w:sz w:val="21"/>
                <w:szCs w:val="21"/>
                <w:em w:val="dot"/>
                <w:lang w:val="en-US" w:eastAsia="zh-CN" w:bidi="ar"/>
              </w:rPr>
              <w:t>残夜</w:t>
            </w: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，</w:t>
            </w:r>
            <w:r>
              <w:rPr>
                <w:rFonts w:hint="eastAsia" w:ascii="楷体" w:hAnsi="楷体" w:eastAsia="楷体" w:cs="楷体"/>
                <w:color w:val="000000"/>
                <w:kern w:val="2"/>
                <w:sz w:val="21"/>
                <w:szCs w:val="21"/>
                <w:em w:val="dot"/>
                <w:lang w:val="en-US" w:eastAsia="zh-CN" w:bidi="ar"/>
              </w:rPr>
              <w:t>江春</w:t>
            </w: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/入</w:t>
            </w:r>
            <w:r>
              <w:rPr>
                <w:rFonts w:hint="eastAsia" w:ascii="楷体" w:hAnsi="楷体" w:eastAsia="楷体" w:cs="楷体"/>
                <w:color w:val="000000"/>
                <w:kern w:val="2"/>
                <w:sz w:val="21"/>
                <w:szCs w:val="21"/>
                <w:em w:val="dot"/>
                <w:lang w:val="en-US" w:eastAsia="zh-CN" w:bidi="ar"/>
              </w:rPr>
              <w:t>旧年</w:t>
            </w: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。</w:t>
            </w: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 xml:space="preserve">（一只手指天，一只手自然摆动） </w:t>
            </w:r>
          </w:p>
          <w:p w14:paraId="6D13C91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2"/>
                <w:sz w:val="21"/>
                <w:szCs w:val="21"/>
                <w:em w:val="dot"/>
                <w:lang w:val="en-US" w:eastAsia="zh-CN" w:bidi="ar"/>
              </w:rPr>
              <w:t>乡书</w:t>
            </w: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/</w:t>
            </w:r>
            <w:r>
              <w:rPr>
                <w:rFonts w:hint="eastAsia" w:ascii="楷体" w:hAnsi="楷体" w:eastAsia="楷体" w:cs="楷体"/>
                <w:color w:val="000000"/>
                <w:kern w:val="2"/>
                <w:sz w:val="21"/>
                <w:szCs w:val="21"/>
                <w:em w:val="dot"/>
                <w:lang w:val="en-US" w:eastAsia="zh-CN" w:bidi="ar"/>
              </w:rPr>
              <w:t>何处达</w:t>
            </w: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？</w:t>
            </w:r>
            <w:r>
              <w:rPr>
                <w:rFonts w:hint="eastAsia" w:ascii="楷体" w:hAnsi="楷体" w:eastAsia="楷体" w:cs="楷体"/>
                <w:color w:val="000000"/>
                <w:kern w:val="2"/>
                <w:sz w:val="21"/>
                <w:szCs w:val="21"/>
                <w:em w:val="dot"/>
                <w:lang w:val="en-US" w:eastAsia="zh-CN" w:bidi="ar"/>
              </w:rPr>
              <w:t>归雁</w:t>
            </w: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/</w:t>
            </w:r>
            <w:r>
              <w:rPr>
                <w:rFonts w:hint="eastAsia" w:ascii="楷体" w:hAnsi="楷体" w:eastAsia="楷体" w:cs="楷体"/>
                <w:color w:val="000000"/>
                <w:kern w:val="2"/>
                <w:sz w:val="21"/>
                <w:szCs w:val="21"/>
                <w:em w:val="dot"/>
                <w:lang w:val="en-US" w:eastAsia="zh-CN" w:bidi="ar"/>
              </w:rPr>
              <w:t>洛阳边</w:t>
            </w: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。</w:t>
            </w: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（双手交握，放在胸前，然后右手微举，目视远方）</w:t>
            </w:r>
          </w:p>
        </w:tc>
      </w:tr>
      <w:tr w14:paraId="61FAF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263" w:type="dxa"/>
            <w:vAlign w:val="center"/>
          </w:tcPr>
          <w:p w14:paraId="16D82A7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朗读说明</w:t>
            </w:r>
          </w:p>
          <w:p w14:paraId="55B0E2B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结合诗歌内容说明朗读设计的理由</w:t>
            </w:r>
          </w:p>
        </w:tc>
        <w:tc>
          <w:tcPr>
            <w:tcW w:w="7524" w:type="dxa"/>
            <w:vAlign w:val="center"/>
          </w:tcPr>
          <w:p w14:paraId="4F88CBA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这首律诗通过描写在北固山下停泊时所见到的青山绿水、潮平岸阔的壮丽之景，抒发了诗人的思乡之情。前四句应读出诗人旅途所见的开阔与宁静，情感较为平和。一二句重读“客路”“行舟”，读出旅途奔波之意；三四句重读“潮平”“阔”“风正”“悬”，展现恢弘开阔的景象，读出乐观昂扬之情。第五、六句在感慨时光流逝中蕴含着积极向上的希望，情感略有起伏。“海日”“残夜”“江春”“旧年”可适当加重，体现新旧交替的意境。 最后两句思乡之情渐浓，语气中要透露出淡淡的忧愁。重读“乡书”“何处达”“归雁”“洛阳边”，强调思乡之情。</w:t>
            </w:r>
          </w:p>
        </w:tc>
      </w:tr>
      <w:tr w14:paraId="284FD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2263" w:type="dxa"/>
            <w:vAlign w:val="center"/>
          </w:tcPr>
          <w:p w14:paraId="5E88114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朗读配乐</w:t>
            </w:r>
          </w:p>
          <w:p w14:paraId="19CF0B3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根据诗歌的内容、情感或意境,选择恰当的朗诵配乐。</w:t>
            </w:r>
          </w:p>
        </w:tc>
        <w:tc>
          <w:tcPr>
            <w:tcW w:w="7524" w:type="dxa"/>
            <w:vAlign w:val="center"/>
          </w:tcPr>
          <w:p w14:paraId="2644C11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配乐:古琴曲《平沙落雁》</w:t>
            </w:r>
          </w:p>
          <w:p w14:paraId="4A422B2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王湾的《次北固山下》通过描写在北固山下停泊时所见到的青山绿水、潮平岸阔的壮丽之景，抒发了诗人的思乡之情。古琴曲《平沙落雁》曲调平和，舒缓，比较契合诗歌意境和淡淡的乡愁,适宜作为诵读配乐。</w:t>
            </w:r>
          </w:p>
        </w:tc>
      </w:tr>
      <w:tr w14:paraId="00AAD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2263" w:type="dxa"/>
            <w:vAlign w:val="center"/>
          </w:tcPr>
          <w:p w14:paraId="2A4836F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朗读评价</w:t>
            </w:r>
          </w:p>
          <w:p w14:paraId="62D94FC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请其他小组为你点亮☆</w:t>
            </w:r>
          </w:p>
        </w:tc>
        <w:tc>
          <w:tcPr>
            <w:tcW w:w="7524" w:type="dxa"/>
            <w:vAlign w:val="center"/>
          </w:tcPr>
          <w:p w14:paraId="25EB4E4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☆☆☆☆☆</w:t>
            </w:r>
          </w:p>
        </w:tc>
      </w:tr>
    </w:tbl>
    <w:p w14:paraId="69D0E786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color w:val="000000"/>
          <w:szCs w:val="21"/>
          <w:lang w:val="en-US" w:eastAsia="zh-CN"/>
        </w:rPr>
      </w:pPr>
    </w:p>
    <w:tbl>
      <w:tblPr>
        <w:tblStyle w:val="8"/>
        <w:tblpPr w:leftFromText="180" w:rightFromText="180" w:vertAnchor="text" w:horzAnchor="page" w:tblpX="1069" w:tblpY="38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7524"/>
      </w:tblGrid>
      <w:tr w14:paraId="262B0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787" w:type="dxa"/>
            <w:gridSpan w:val="2"/>
            <w:vAlign w:val="center"/>
          </w:tcPr>
          <w:p w14:paraId="7B27406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朗 诵 任 务 卡</w:t>
            </w:r>
          </w:p>
        </w:tc>
      </w:tr>
      <w:tr w14:paraId="69EA5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263" w:type="dxa"/>
            <w:vAlign w:val="center"/>
          </w:tcPr>
          <w:p w14:paraId="289FC09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朗读设计</w:t>
            </w:r>
          </w:p>
          <w:p w14:paraId="694D6C7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画出重音、停顿，并设计朗读的体态、手势、表情等。</w:t>
            </w:r>
          </w:p>
        </w:tc>
        <w:tc>
          <w:tcPr>
            <w:tcW w:w="7524" w:type="dxa"/>
            <w:vAlign w:val="center"/>
          </w:tcPr>
          <w:p w14:paraId="22ADA31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闻王昌龄左迁龙标遥有此寄</w:t>
            </w:r>
          </w:p>
          <w:p w14:paraId="24FBFE4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李白</w:t>
            </w:r>
          </w:p>
          <w:p w14:paraId="7C3CA7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（开场）</w:t>
            </w: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表情：带着一丝忧虑和关切的神情。体态：身体站直，微微抬头，视线看向远方，仿佛在眺望王昌龄远去的方向。手势：右手可轻轻抬起，手掌微张，做出“遥寄”的姿势。</w:t>
            </w:r>
          </w:p>
          <w:p w14:paraId="2DA508C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杨花/落尽/</w:t>
            </w:r>
            <w:r>
              <w:rPr>
                <w:rFonts w:hint="eastAsia" w:ascii="楷体" w:hAnsi="楷体" w:eastAsia="楷体" w:cs="楷体"/>
                <w:color w:val="000000"/>
                <w:kern w:val="2"/>
                <w:sz w:val="21"/>
                <w:szCs w:val="21"/>
                <w:lang w:val="en-US" w:eastAsia="zh-CN" w:bidi="ar"/>
              </w:rPr>
              <w:t>子规啼</w:t>
            </w: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(表情：微微皱起眉头，表现出对春光消逝的惋惜和环境氛围的感受。体态：上半身可稍微向前倾，增加一些投入感。手势：用左手缓慢地从右上方划向左下方，示意杨花飘落。)</w:t>
            </w:r>
          </w:p>
          <w:p w14:paraId="5640144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闻道/龙标/</w:t>
            </w:r>
            <w:r>
              <w:rPr>
                <w:rFonts w:hint="eastAsia" w:ascii="楷体" w:hAnsi="楷体" w:eastAsia="楷体" w:cs="楷体"/>
                <w:color w:val="000000"/>
                <w:kern w:val="2"/>
                <w:sz w:val="21"/>
                <w:szCs w:val="21"/>
                <w:em w:val="dot"/>
                <w:lang w:val="en-US" w:eastAsia="zh-CN" w:bidi="ar"/>
              </w:rPr>
              <w:t>过五溪</w:t>
            </w: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。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(表情：神情更加凝重，显出对友人路途遥远、艰辛的担忧。 体态：可稍作停顿，然后右手向右前方伸出，手掌摊开，似在点数五溪。)</w:t>
            </w:r>
          </w:p>
          <w:p w14:paraId="58783FF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我寄/</w:t>
            </w:r>
            <w:r>
              <w:rPr>
                <w:rFonts w:hint="eastAsia" w:ascii="楷体" w:hAnsi="楷体" w:eastAsia="楷体" w:cs="楷体"/>
                <w:color w:val="000000"/>
                <w:kern w:val="2"/>
                <w:sz w:val="21"/>
                <w:szCs w:val="21"/>
                <w:em w:val="dot"/>
                <w:lang w:val="en-US" w:eastAsia="zh-CN" w:bidi="ar"/>
              </w:rPr>
              <w:t>愁心</w:t>
            </w: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/与</w:t>
            </w:r>
            <w:r>
              <w:rPr>
                <w:rFonts w:hint="eastAsia" w:ascii="楷体" w:hAnsi="楷体" w:eastAsia="楷体" w:cs="楷体"/>
                <w:color w:val="000000"/>
                <w:kern w:val="2"/>
                <w:sz w:val="21"/>
                <w:szCs w:val="21"/>
                <w:em w:val="dot"/>
                <w:lang w:val="en-US" w:eastAsia="zh-CN" w:bidi="ar"/>
              </w:rPr>
              <w:t>明月</w:t>
            </w: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（表情：目光专注而深情，体现出诗人内心的情感寄托。体态：身体转正，双手在胸前抬起，右手掌向上，左手掌搭在右手腕处，仿佛捧着一颗“愁心”。 手势：接着双手慢慢向上抬起、伸直，将“愁心”托付给明月。）</w:t>
            </w:r>
          </w:p>
          <w:p w14:paraId="2C6EB28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随君/直到/夜郎西。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（表情：目光坚定且充满期待，传递出希望明月能将自己的关怀带给友人的情感。体态：身体微微朝右侧，右手伸直，指向远方，眼神顺着右手的方向望去。手势：左手可以配合着轻轻摆动，示意明月伴随友人直到远方。）</w:t>
            </w:r>
          </w:p>
        </w:tc>
      </w:tr>
      <w:tr w14:paraId="1B385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263" w:type="dxa"/>
            <w:vAlign w:val="center"/>
          </w:tcPr>
          <w:p w14:paraId="085404F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朗读说明</w:t>
            </w:r>
          </w:p>
          <w:p w14:paraId="3901275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结合诗歌内容说明朗读设计的理由</w:t>
            </w:r>
          </w:p>
        </w:tc>
        <w:tc>
          <w:tcPr>
            <w:tcW w:w="7524" w:type="dxa"/>
            <w:vAlign w:val="center"/>
          </w:tcPr>
          <w:p w14:paraId="433C421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这首绝句通过对暮春景物的描写，以景传情，表达了诗人对友人被贬远行的同情和关切。诗歌第一句用“杨花”和“子规”这两种景物渲染了伤感的气氛,在朗读时应读得轻而缓慢。第二句点题,“过五溪”要重读,传达出诗人对朋友的牵挂之情。第三、四句是流传千古的名句,诗人突发奇想,将自己对友人的关怀、担忧和嘱咐都寄托于天上的那轮明月，让它代替自己陪伴友人远行。诗歌从写景叙事转到了抒情,一般来说,绝句的第三句都是“转”,朗读的时候往往会走上一个高潮。第三句和第四句之间可以留稍长的停顿,以制造悬念，最后将自己对朋友的真诚祝福和盘托出。</w:t>
            </w:r>
          </w:p>
        </w:tc>
      </w:tr>
      <w:tr w14:paraId="485A9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2263" w:type="dxa"/>
            <w:vAlign w:val="center"/>
          </w:tcPr>
          <w:p w14:paraId="52B28BE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朗读配乐</w:t>
            </w:r>
          </w:p>
          <w:p w14:paraId="32159A1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根据诗歌的内容、情感或意境,选择恰当的朗诵配乐。</w:t>
            </w:r>
          </w:p>
        </w:tc>
        <w:tc>
          <w:tcPr>
            <w:tcW w:w="7524" w:type="dxa"/>
            <w:vAlign w:val="center"/>
          </w:tcPr>
          <w:p w14:paraId="799696C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配乐:古琴曲《广陵散》</w:t>
            </w:r>
          </w:p>
          <w:p w14:paraId="309F3D7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李白的《闻王昌龄左迁龙标遥有此寄》通过对暮春景物的描写，以景传情，表达了诗人对友人被贬远行的同情和关切。古琴曲《广陵散》旋律古朴典雅，节奏徐缓悠长，能为朗诵营造出一种悠远深沉的氛围，与诗中对友人的关切和思念之情相得益彰,适宜作诵读配乐。</w:t>
            </w:r>
          </w:p>
        </w:tc>
      </w:tr>
      <w:tr w14:paraId="169C6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2263" w:type="dxa"/>
            <w:vAlign w:val="center"/>
          </w:tcPr>
          <w:p w14:paraId="1CF06EE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朗读评价</w:t>
            </w:r>
          </w:p>
          <w:p w14:paraId="3A365EC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请其他小组为你点亮☆</w:t>
            </w:r>
          </w:p>
        </w:tc>
        <w:tc>
          <w:tcPr>
            <w:tcW w:w="7524" w:type="dxa"/>
            <w:vAlign w:val="center"/>
          </w:tcPr>
          <w:p w14:paraId="6EF8013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☆☆☆☆☆</w:t>
            </w:r>
          </w:p>
        </w:tc>
      </w:tr>
    </w:tbl>
    <w:p w14:paraId="729825CA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color w:val="000000"/>
          <w:szCs w:val="21"/>
          <w:lang w:val="en-US" w:eastAsia="zh-CN"/>
        </w:rPr>
      </w:pPr>
    </w:p>
    <w:tbl>
      <w:tblPr>
        <w:tblStyle w:val="8"/>
        <w:tblpPr w:leftFromText="180" w:rightFromText="180" w:vertAnchor="text" w:horzAnchor="page" w:tblpX="1069" w:tblpY="38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7524"/>
      </w:tblGrid>
      <w:tr w14:paraId="64782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787" w:type="dxa"/>
            <w:gridSpan w:val="2"/>
            <w:vAlign w:val="center"/>
          </w:tcPr>
          <w:p w14:paraId="25DF3FA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朗 诵 任 务 卡</w:t>
            </w:r>
          </w:p>
        </w:tc>
      </w:tr>
      <w:tr w14:paraId="64032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263" w:type="dxa"/>
            <w:vAlign w:val="center"/>
          </w:tcPr>
          <w:p w14:paraId="46548AB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朗读设计</w:t>
            </w:r>
          </w:p>
          <w:p w14:paraId="059BB39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画出重音、停顿，并设计朗读的体态、手势、表情等。</w:t>
            </w:r>
          </w:p>
        </w:tc>
        <w:tc>
          <w:tcPr>
            <w:tcW w:w="7524" w:type="dxa"/>
            <w:vAlign w:val="center"/>
          </w:tcPr>
          <w:p w14:paraId="7119A9F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天净沙·秋思</w:t>
            </w:r>
          </w:p>
          <w:p w14:paraId="0D4037A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马致远</w:t>
            </w:r>
          </w:p>
          <w:p w14:paraId="7B5A5E5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2"/>
                <w:sz w:val="21"/>
                <w:szCs w:val="21"/>
                <w:em w:val="dot"/>
                <w:lang w:val="en-US" w:eastAsia="zh-CN" w:bidi="ar"/>
              </w:rPr>
              <w:t>枯</w:t>
            </w: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藤/</w:t>
            </w:r>
            <w:r>
              <w:rPr>
                <w:rFonts w:hint="eastAsia" w:ascii="楷体" w:hAnsi="楷体" w:eastAsia="楷体" w:cs="楷体"/>
                <w:color w:val="000000"/>
                <w:kern w:val="2"/>
                <w:sz w:val="21"/>
                <w:szCs w:val="21"/>
                <w:em w:val="dot"/>
                <w:lang w:val="en-US" w:eastAsia="zh-CN" w:bidi="ar"/>
              </w:rPr>
              <w:t>老</w:t>
            </w: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树/</w:t>
            </w:r>
            <w:r>
              <w:rPr>
                <w:rFonts w:hint="eastAsia" w:ascii="楷体" w:hAnsi="楷体" w:eastAsia="楷体" w:cs="楷体"/>
                <w:color w:val="000000"/>
                <w:kern w:val="2"/>
                <w:sz w:val="21"/>
                <w:szCs w:val="21"/>
                <w:em w:val="dot"/>
                <w:lang w:val="en-US" w:eastAsia="zh-CN" w:bidi="ar"/>
              </w:rPr>
              <w:t>昏</w:t>
            </w: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鸦</w:t>
            </w: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(向右上方举手,表情凝重)</w:t>
            </w: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,小桥/流永/人家(</w:t>
            </w: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向左方举手,表情有一丝向往)</w:t>
            </w: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,</w:t>
            </w:r>
            <w:r>
              <w:rPr>
                <w:rFonts w:hint="eastAsia" w:ascii="楷体" w:hAnsi="楷体" w:eastAsia="楷体" w:cs="楷体"/>
                <w:color w:val="000000"/>
                <w:kern w:val="2"/>
                <w:sz w:val="21"/>
                <w:szCs w:val="21"/>
                <w:em w:val="dot"/>
                <w:lang w:val="en-US" w:eastAsia="zh-CN" w:bidi="ar"/>
              </w:rPr>
              <w:t>古</w:t>
            </w: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道/</w:t>
            </w:r>
            <w:r>
              <w:rPr>
                <w:rFonts w:hint="eastAsia" w:ascii="楷体" w:hAnsi="楷体" w:eastAsia="楷体" w:cs="楷体"/>
                <w:color w:val="000000"/>
                <w:kern w:val="2"/>
                <w:sz w:val="21"/>
                <w:szCs w:val="21"/>
                <w:em w:val="dot"/>
                <w:lang w:val="en-US" w:eastAsia="zh-CN" w:bidi="ar"/>
              </w:rPr>
              <w:t>西</w:t>
            </w: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风/</w:t>
            </w:r>
            <w:r>
              <w:rPr>
                <w:rFonts w:hint="eastAsia" w:ascii="楷体" w:hAnsi="楷体" w:eastAsia="楷体" w:cs="楷体"/>
                <w:color w:val="000000"/>
                <w:kern w:val="2"/>
                <w:sz w:val="21"/>
                <w:szCs w:val="21"/>
                <w:em w:val="dot"/>
                <w:lang w:val="en-US" w:eastAsia="zh-CN" w:bidi="ar"/>
              </w:rPr>
              <w:t>瘦</w:t>
            </w: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马</w:t>
            </w: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(低头往下看,表情回归凝重)</w:t>
            </w: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。夕阳/西下</w:t>
            </w: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(抬头目视前方)</w:t>
            </w: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,</w:t>
            </w:r>
            <w:r>
              <w:rPr>
                <w:rFonts w:hint="eastAsia" w:ascii="楷体" w:hAnsi="楷体" w:eastAsia="楷体" w:cs="楷体"/>
                <w:color w:val="000000"/>
                <w:kern w:val="2"/>
                <w:sz w:val="21"/>
                <w:szCs w:val="21"/>
                <w:em w:val="dot"/>
                <w:lang w:val="en-US" w:eastAsia="zh-CN" w:bidi="ar"/>
              </w:rPr>
              <w:t>断肠人</w:t>
            </w: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/在天涯</w:t>
            </w: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(惆怅,伤感。目视远方，表情更加凝重)</w:t>
            </w:r>
          </w:p>
        </w:tc>
      </w:tr>
      <w:tr w14:paraId="08DFA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263" w:type="dxa"/>
            <w:vAlign w:val="center"/>
          </w:tcPr>
          <w:p w14:paraId="3F7A1CE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朗读说明</w:t>
            </w:r>
          </w:p>
          <w:p w14:paraId="2723683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结合诗歌内容说明朗读设计的理由</w:t>
            </w:r>
          </w:p>
        </w:tc>
        <w:tc>
          <w:tcPr>
            <w:tcW w:w="7524" w:type="dxa"/>
            <w:vAlign w:val="center"/>
          </w:tcPr>
          <w:p w14:paraId="5B5E63D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这是一首散曲,诗人用几组意象的堆叠,营造出忧伤的氛围，让我们感受到他的愁苦与乡思,如“枯藤”“老树”“昏鸦”。给“枯”“老”“昏”“古”“西”“瘦”等词标注重音,是因为这些词特别能凸显秋日的衰败之象,表现了诗人心中那无法磨灭的思乡之愁,所以在读到这些景物的时候,表情都是凝重的。“小桥流水人家”是比较温馨的画面,但又突然发觉自己在离家十分遥远的“天涯”,激起“断肠人”更深的哀愁,所以读最后一句时表情应该更加凝重。</w:t>
            </w:r>
          </w:p>
        </w:tc>
      </w:tr>
      <w:tr w14:paraId="7DEAC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2263" w:type="dxa"/>
            <w:vAlign w:val="center"/>
          </w:tcPr>
          <w:p w14:paraId="048C1FE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朗读配乐</w:t>
            </w:r>
          </w:p>
          <w:p w14:paraId="390A540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根据诗歌的内容、情感或意境,选择恰当的朗诵配乐。</w:t>
            </w:r>
          </w:p>
        </w:tc>
        <w:tc>
          <w:tcPr>
            <w:tcW w:w="7524" w:type="dxa"/>
            <w:vAlign w:val="center"/>
          </w:tcPr>
          <w:p w14:paraId="1CCCD49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配乐:刘天华二胡曲《悲歌》</w:t>
            </w:r>
          </w:p>
          <w:p w14:paraId="63DA961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马致远的《天净沙·秋思》以多种景物组合了一幅天涯游子孤独地行走于西风古道的凄凉景象，抒发了凄苦的思乡之情。二胡《悲歌》曲调幽怨悲凉，比较契合这首散曲的情感基调,适宜作为诵读配乐。</w:t>
            </w:r>
          </w:p>
        </w:tc>
      </w:tr>
      <w:tr w14:paraId="69AB4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2263" w:type="dxa"/>
            <w:vAlign w:val="center"/>
          </w:tcPr>
          <w:p w14:paraId="2D20E24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朗读评价</w:t>
            </w:r>
          </w:p>
          <w:p w14:paraId="5AFE9D4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请其他小组为你点亮☆</w:t>
            </w:r>
          </w:p>
        </w:tc>
        <w:tc>
          <w:tcPr>
            <w:tcW w:w="7524" w:type="dxa"/>
            <w:vAlign w:val="center"/>
          </w:tcPr>
          <w:p w14:paraId="124F2D5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☆☆☆☆☆</w:t>
            </w:r>
          </w:p>
        </w:tc>
      </w:tr>
    </w:tbl>
    <w:p w14:paraId="77673988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4F7CE165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（各小组配乐朗读，并请台下学生进行点评，最后请各小组代表将星级评价写在黑板上，评出最佳朗诵）</w:t>
      </w:r>
    </w:p>
    <w:p w14:paraId="0F33B02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——学生朗诵过程中，伺机用课件展示名家朗诵音视频。</w:t>
      </w:r>
    </w:p>
    <w:p w14:paraId="472BA40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黑体" w:hAnsi="黑体" w:eastAsia="黑体" w:cs="黑体"/>
          <w:color w:val="000000"/>
          <w:szCs w:val="21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color w:val="000000"/>
          <w:szCs w:val="21"/>
          <w:lang w:val="en-US" w:eastAsia="zh-CN"/>
        </w:rPr>
        <w:t>布置作业</w:t>
      </w:r>
    </w:p>
    <w:p w14:paraId="268ED00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请完成本课《分层作业》。</w:t>
      </w:r>
    </w:p>
    <w:bookmarkEnd w:id="0"/>
    <w:p w14:paraId="157420A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</w:p>
    <w:p w14:paraId="78631EB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【板书设计】</w:t>
      </w:r>
    </w:p>
    <w:p w14:paraId="6A971C92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/>
        </w:rPr>
      </w:pPr>
      <w:r>
        <w:drawing>
          <wp:inline distT="0" distB="0" distL="114300" distR="114300">
            <wp:extent cx="3780790" cy="1924685"/>
            <wp:effectExtent l="0" t="0" r="13970" b="10795"/>
            <wp:docPr id="1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80790" cy="192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BB1952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26C89B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E17FB3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F57437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A93E1A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EC5A1E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zOTNkZDM4NzNjZWZiOWUxMmRlZDEzYTJlMzk2NTAifQ=="/>
  </w:docVars>
  <w:rsids>
    <w:rsidRoot w:val="00172A27"/>
    <w:rsid w:val="00012FC2"/>
    <w:rsid w:val="00030B58"/>
    <w:rsid w:val="000C3824"/>
    <w:rsid w:val="000D0A78"/>
    <w:rsid w:val="00143AA9"/>
    <w:rsid w:val="00172A27"/>
    <w:rsid w:val="00266905"/>
    <w:rsid w:val="003B531C"/>
    <w:rsid w:val="003F561A"/>
    <w:rsid w:val="004151FC"/>
    <w:rsid w:val="004406E8"/>
    <w:rsid w:val="004D5F63"/>
    <w:rsid w:val="005861B6"/>
    <w:rsid w:val="005B6051"/>
    <w:rsid w:val="00620A9F"/>
    <w:rsid w:val="006D6B31"/>
    <w:rsid w:val="00735CBE"/>
    <w:rsid w:val="00737B13"/>
    <w:rsid w:val="00BF6B0E"/>
    <w:rsid w:val="00C02FC6"/>
    <w:rsid w:val="00C069E7"/>
    <w:rsid w:val="00C262F5"/>
    <w:rsid w:val="00C60690"/>
    <w:rsid w:val="00DA6A96"/>
    <w:rsid w:val="00DF5F69"/>
    <w:rsid w:val="00E55257"/>
    <w:rsid w:val="00E73841"/>
    <w:rsid w:val="00F13100"/>
    <w:rsid w:val="00FB2830"/>
    <w:rsid w:val="011E7635"/>
    <w:rsid w:val="01443A28"/>
    <w:rsid w:val="022F4F6E"/>
    <w:rsid w:val="024A342F"/>
    <w:rsid w:val="024F5824"/>
    <w:rsid w:val="02BA4EA4"/>
    <w:rsid w:val="02BF77F6"/>
    <w:rsid w:val="030F1F7E"/>
    <w:rsid w:val="03105894"/>
    <w:rsid w:val="03A10FD4"/>
    <w:rsid w:val="03C56D03"/>
    <w:rsid w:val="04090E4E"/>
    <w:rsid w:val="040F1ED1"/>
    <w:rsid w:val="04521743"/>
    <w:rsid w:val="04A077D4"/>
    <w:rsid w:val="054C4671"/>
    <w:rsid w:val="0603469F"/>
    <w:rsid w:val="060356C3"/>
    <w:rsid w:val="071D0B0C"/>
    <w:rsid w:val="072506FA"/>
    <w:rsid w:val="073D4803"/>
    <w:rsid w:val="07493674"/>
    <w:rsid w:val="07BA14B5"/>
    <w:rsid w:val="08B70410"/>
    <w:rsid w:val="093F51ED"/>
    <w:rsid w:val="094620D8"/>
    <w:rsid w:val="09A523BE"/>
    <w:rsid w:val="0A334D52"/>
    <w:rsid w:val="0A830C70"/>
    <w:rsid w:val="0AA04FB4"/>
    <w:rsid w:val="0B9D4CB5"/>
    <w:rsid w:val="0BBE35C7"/>
    <w:rsid w:val="0BC42E1C"/>
    <w:rsid w:val="0C451536"/>
    <w:rsid w:val="0CCE5330"/>
    <w:rsid w:val="0D092489"/>
    <w:rsid w:val="0D4252AC"/>
    <w:rsid w:val="0DE1590C"/>
    <w:rsid w:val="0E5A03D3"/>
    <w:rsid w:val="0E5B6625"/>
    <w:rsid w:val="0E674BA2"/>
    <w:rsid w:val="0EE7589A"/>
    <w:rsid w:val="10121687"/>
    <w:rsid w:val="10146D27"/>
    <w:rsid w:val="109B402A"/>
    <w:rsid w:val="11560F71"/>
    <w:rsid w:val="11707185"/>
    <w:rsid w:val="11F77791"/>
    <w:rsid w:val="12521E00"/>
    <w:rsid w:val="126A37FC"/>
    <w:rsid w:val="12CA3D79"/>
    <w:rsid w:val="13A50343"/>
    <w:rsid w:val="14183E89"/>
    <w:rsid w:val="160D7128"/>
    <w:rsid w:val="1620367F"/>
    <w:rsid w:val="166271AC"/>
    <w:rsid w:val="16A8314F"/>
    <w:rsid w:val="17AA7BF0"/>
    <w:rsid w:val="17B157DC"/>
    <w:rsid w:val="182368AB"/>
    <w:rsid w:val="19574B65"/>
    <w:rsid w:val="199F6E23"/>
    <w:rsid w:val="19A448A5"/>
    <w:rsid w:val="19EF59BA"/>
    <w:rsid w:val="19F207E4"/>
    <w:rsid w:val="1A6709DF"/>
    <w:rsid w:val="1AA67EB7"/>
    <w:rsid w:val="1ACC7774"/>
    <w:rsid w:val="1CE1575A"/>
    <w:rsid w:val="1D41732E"/>
    <w:rsid w:val="1E081BFA"/>
    <w:rsid w:val="1E205A0A"/>
    <w:rsid w:val="1E5A4A23"/>
    <w:rsid w:val="1F7E0F44"/>
    <w:rsid w:val="1FCC1887"/>
    <w:rsid w:val="1FE13D1F"/>
    <w:rsid w:val="200036A4"/>
    <w:rsid w:val="204A7721"/>
    <w:rsid w:val="206D72CF"/>
    <w:rsid w:val="21132D8F"/>
    <w:rsid w:val="2191104E"/>
    <w:rsid w:val="21C6264E"/>
    <w:rsid w:val="21E02927"/>
    <w:rsid w:val="22077EAB"/>
    <w:rsid w:val="22F57EAF"/>
    <w:rsid w:val="23454050"/>
    <w:rsid w:val="237768FD"/>
    <w:rsid w:val="23CC192B"/>
    <w:rsid w:val="23E80503"/>
    <w:rsid w:val="251C7334"/>
    <w:rsid w:val="253A197B"/>
    <w:rsid w:val="253B7EF0"/>
    <w:rsid w:val="25407ECB"/>
    <w:rsid w:val="25A6683E"/>
    <w:rsid w:val="25B85CB3"/>
    <w:rsid w:val="25FB54E6"/>
    <w:rsid w:val="266E3D58"/>
    <w:rsid w:val="2810618F"/>
    <w:rsid w:val="2857710D"/>
    <w:rsid w:val="28932D88"/>
    <w:rsid w:val="289C363E"/>
    <w:rsid w:val="28A41481"/>
    <w:rsid w:val="28E65FFE"/>
    <w:rsid w:val="29096E2B"/>
    <w:rsid w:val="293E5CF6"/>
    <w:rsid w:val="29811B9D"/>
    <w:rsid w:val="29EE33B1"/>
    <w:rsid w:val="2A9767A3"/>
    <w:rsid w:val="2AA91D98"/>
    <w:rsid w:val="2AB4113F"/>
    <w:rsid w:val="2AB70C30"/>
    <w:rsid w:val="2ADD0BB2"/>
    <w:rsid w:val="2B16005C"/>
    <w:rsid w:val="2B235846"/>
    <w:rsid w:val="2B47078A"/>
    <w:rsid w:val="2B5328C8"/>
    <w:rsid w:val="2B682A08"/>
    <w:rsid w:val="2BD001FB"/>
    <w:rsid w:val="2C0F4218"/>
    <w:rsid w:val="2C4829BD"/>
    <w:rsid w:val="2C8C11DD"/>
    <w:rsid w:val="2E214C99"/>
    <w:rsid w:val="2E6B512D"/>
    <w:rsid w:val="2F220469"/>
    <w:rsid w:val="2F2A2F8A"/>
    <w:rsid w:val="2F6714F2"/>
    <w:rsid w:val="3025488D"/>
    <w:rsid w:val="30911D76"/>
    <w:rsid w:val="30954103"/>
    <w:rsid w:val="30DA1C73"/>
    <w:rsid w:val="315E0080"/>
    <w:rsid w:val="318F4594"/>
    <w:rsid w:val="324B1359"/>
    <w:rsid w:val="32B97039"/>
    <w:rsid w:val="33D22C2B"/>
    <w:rsid w:val="340B51F1"/>
    <w:rsid w:val="34DB19BE"/>
    <w:rsid w:val="35861145"/>
    <w:rsid w:val="35935C52"/>
    <w:rsid w:val="366559E4"/>
    <w:rsid w:val="36CA6D73"/>
    <w:rsid w:val="36FC3286"/>
    <w:rsid w:val="37B65A46"/>
    <w:rsid w:val="37F35313"/>
    <w:rsid w:val="385430CC"/>
    <w:rsid w:val="38585147"/>
    <w:rsid w:val="390E5E67"/>
    <w:rsid w:val="39CB1E5C"/>
    <w:rsid w:val="39F74215"/>
    <w:rsid w:val="3A3066E4"/>
    <w:rsid w:val="3A412A1F"/>
    <w:rsid w:val="3B3356D3"/>
    <w:rsid w:val="3B8D375D"/>
    <w:rsid w:val="3B8E2DB2"/>
    <w:rsid w:val="3CAB036C"/>
    <w:rsid w:val="3CFC5CFD"/>
    <w:rsid w:val="3EAA6689"/>
    <w:rsid w:val="3EB510FB"/>
    <w:rsid w:val="3FC574F3"/>
    <w:rsid w:val="409243BE"/>
    <w:rsid w:val="409361DE"/>
    <w:rsid w:val="4184316F"/>
    <w:rsid w:val="421B3E90"/>
    <w:rsid w:val="426E79CE"/>
    <w:rsid w:val="429A28DC"/>
    <w:rsid w:val="42AA1C41"/>
    <w:rsid w:val="433F7E95"/>
    <w:rsid w:val="434661BF"/>
    <w:rsid w:val="43884ABF"/>
    <w:rsid w:val="441260D8"/>
    <w:rsid w:val="44A8366B"/>
    <w:rsid w:val="452E0BB6"/>
    <w:rsid w:val="45E81FF5"/>
    <w:rsid w:val="45EF4D65"/>
    <w:rsid w:val="46DC584E"/>
    <w:rsid w:val="47064475"/>
    <w:rsid w:val="475060AF"/>
    <w:rsid w:val="475A49C5"/>
    <w:rsid w:val="48622479"/>
    <w:rsid w:val="48FB5D34"/>
    <w:rsid w:val="493D595C"/>
    <w:rsid w:val="49F77418"/>
    <w:rsid w:val="4A181876"/>
    <w:rsid w:val="4A7C355C"/>
    <w:rsid w:val="4B0752CD"/>
    <w:rsid w:val="4B5E0F27"/>
    <w:rsid w:val="4B8D3156"/>
    <w:rsid w:val="4C105824"/>
    <w:rsid w:val="4E835BA2"/>
    <w:rsid w:val="4F1D1146"/>
    <w:rsid w:val="4F6768F9"/>
    <w:rsid w:val="4FBA24A4"/>
    <w:rsid w:val="4FEE214E"/>
    <w:rsid w:val="4FFE77E4"/>
    <w:rsid w:val="50415697"/>
    <w:rsid w:val="50507BB0"/>
    <w:rsid w:val="508D0E23"/>
    <w:rsid w:val="50AA0EC9"/>
    <w:rsid w:val="50D71373"/>
    <w:rsid w:val="510734C7"/>
    <w:rsid w:val="513A3AA6"/>
    <w:rsid w:val="51891A7C"/>
    <w:rsid w:val="52B82624"/>
    <w:rsid w:val="52CB49C9"/>
    <w:rsid w:val="53B337F3"/>
    <w:rsid w:val="54CC6C29"/>
    <w:rsid w:val="557C43C4"/>
    <w:rsid w:val="562527F8"/>
    <w:rsid w:val="56893B64"/>
    <w:rsid w:val="56D30863"/>
    <w:rsid w:val="56F740DC"/>
    <w:rsid w:val="578C2978"/>
    <w:rsid w:val="57D84D0F"/>
    <w:rsid w:val="58501BF8"/>
    <w:rsid w:val="58EC0A5F"/>
    <w:rsid w:val="59C37E75"/>
    <w:rsid w:val="59CA000B"/>
    <w:rsid w:val="5A252481"/>
    <w:rsid w:val="5C4B4CF8"/>
    <w:rsid w:val="5C6760BF"/>
    <w:rsid w:val="5CA83B98"/>
    <w:rsid w:val="5CF16BE4"/>
    <w:rsid w:val="5E343D6A"/>
    <w:rsid w:val="5E4823F5"/>
    <w:rsid w:val="5E9D4F9B"/>
    <w:rsid w:val="5F1C3E69"/>
    <w:rsid w:val="5FC60AF2"/>
    <w:rsid w:val="602573A9"/>
    <w:rsid w:val="60676BE3"/>
    <w:rsid w:val="60690D23"/>
    <w:rsid w:val="60B30F76"/>
    <w:rsid w:val="615A3CBB"/>
    <w:rsid w:val="61CF56B7"/>
    <w:rsid w:val="62F75EB0"/>
    <w:rsid w:val="632251C4"/>
    <w:rsid w:val="66E4125A"/>
    <w:rsid w:val="672A3F31"/>
    <w:rsid w:val="673957D1"/>
    <w:rsid w:val="67901DE5"/>
    <w:rsid w:val="68441504"/>
    <w:rsid w:val="68AE4C06"/>
    <w:rsid w:val="69C26788"/>
    <w:rsid w:val="69E63140"/>
    <w:rsid w:val="6ADF0B63"/>
    <w:rsid w:val="6C6857D1"/>
    <w:rsid w:val="6CBE6CDC"/>
    <w:rsid w:val="6D325918"/>
    <w:rsid w:val="6D413EF5"/>
    <w:rsid w:val="6D6D53AD"/>
    <w:rsid w:val="6DA47E46"/>
    <w:rsid w:val="6DF55653"/>
    <w:rsid w:val="6E0E0DEF"/>
    <w:rsid w:val="6E960D5F"/>
    <w:rsid w:val="6ECA4467"/>
    <w:rsid w:val="6EEC100C"/>
    <w:rsid w:val="6F694B09"/>
    <w:rsid w:val="7010770F"/>
    <w:rsid w:val="70294762"/>
    <w:rsid w:val="709654EB"/>
    <w:rsid w:val="70C62CED"/>
    <w:rsid w:val="70F704C1"/>
    <w:rsid w:val="71353360"/>
    <w:rsid w:val="719B3FB2"/>
    <w:rsid w:val="71A069B1"/>
    <w:rsid w:val="71AA0501"/>
    <w:rsid w:val="7295497F"/>
    <w:rsid w:val="73135419"/>
    <w:rsid w:val="739531F2"/>
    <w:rsid w:val="73BD6C1A"/>
    <w:rsid w:val="75405343"/>
    <w:rsid w:val="759D7ECF"/>
    <w:rsid w:val="765A01AF"/>
    <w:rsid w:val="76D442CA"/>
    <w:rsid w:val="76EB5674"/>
    <w:rsid w:val="77E3182D"/>
    <w:rsid w:val="78AB0A2D"/>
    <w:rsid w:val="78B120BD"/>
    <w:rsid w:val="78D64F2C"/>
    <w:rsid w:val="79856256"/>
    <w:rsid w:val="7A2F5734"/>
    <w:rsid w:val="7ADB0244"/>
    <w:rsid w:val="7B39441D"/>
    <w:rsid w:val="7B5C5360"/>
    <w:rsid w:val="7B7159C1"/>
    <w:rsid w:val="7B825CBD"/>
    <w:rsid w:val="7C1B6455"/>
    <w:rsid w:val="7C3F7121"/>
    <w:rsid w:val="7D187BD8"/>
    <w:rsid w:val="7DB31FA0"/>
    <w:rsid w:val="7DE31DEC"/>
    <w:rsid w:val="7E236C23"/>
    <w:rsid w:val="7E344D06"/>
    <w:rsid w:val="7E9A4216"/>
    <w:rsid w:val="7EC26EF1"/>
    <w:rsid w:val="7F1865E7"/>
    <w:rsid w:val="7F841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1583</Words>
  <Characters>1608</Characters>
  <Lines>1</Lines>
  <Paragraphs>1</Paragraphs>
  <TotalTime>15</TotalTime>
  <ScaleCrop>false</ScaleCrop>
  <LinksUpToDate>false</LinksUpToDate>
  <CharactersWithSpaces>1614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2022-07-14T00:56:00Z</dcterms:created>
  <dc:creator>文小语</dc:creator>
  <cp:lastModifiedBy>上帝掷骰子吗</cp:lastModifiedBy>
  <dcterms:modified xsi:type="dcterms:W3CDTF">2025-08-06T09:52:57Z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4B4F081F5B7542519F9A7FF252937038_12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