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12230100</wp:posOffset>
            </wp:positionV>
            <wp:extent cx="317500" cy="330200"/>
            <wp:effectExtent l="0" t="0" r="6350" b="1270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第9课 追忆童年岁月 感悟成长滋味——《从百草园到三味书屋》教学设计</w:t>
      </w:r>
    </w:p>
    <w:p w14:paraId="38E77793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学习默读,养成一气呵成读完全文的习惯,整体感知文章的基本内容。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品味准确、传神的语言,学习抓住特点描写景物,以及通过外貌、语言、动作描写刻画人物的方法。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把握“回忆性散文”的叙述视角,结合自己的生活体验感悟童年的美好与成长的意义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B5EEC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1.学习默读,养成一气呵成读完全文的习惯,整体感知文章的基本内容。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2.品味准确、传神的语言</w:t>
      </w:r>
      <w:r>
        <w:rPr>
          <w:rFonts w:hint="eastAsia" w:ascii="宋体" w:hAnsi="宋体" w:eastAsia="宋体" w:cs="Times New Roman"/>
          <w:szCs w:val="21"/>
          <w:lang w:eastAsia="zh-CN"/>
        </w:rPr>
        <w:t>，把握“回忆性散文”的叙述视角,结合自己的生活体验感悟童年的美好与成长的意义</w:t>
      </w:r>
      <w:r>
        <w:rPr>
          <w:rFonts w:hint="eastAsia" w:ascii="宋体" w:hAnsi="宋体" w:eastAsia="宋体" w:cs="Times New Roman"/>
          <w:szCs w:val="21"/>
        </w:rPr>
        <w:t>。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17B3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任务一：积累·扫清字词常识障碍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任务二：默读·感知儿时成长之路</w:t>
      </w:r>
    </w:p>
    <w:p w14:paraId="73A51C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任务三：精读·探寻“百草园”之“乐”</w:t>
      </w:r>
    </w:p>
    <w:p w14:paraId="6AF8AE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任务四：研读·辨析“三味书屋”之“严”与“趣”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任务五：品读·鉴赏叙事视角之妙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58E825A6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第一课时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5C51A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童年是一段难以割舍的回忆。近期学校将举办“致敬童年，感悟成长”名人童年故事摄影集，校园摄影社团选几组名人岁月回眸的镜头，我们班准备分享鲁迅先生的童年故事。今天，我们就通过他的一篇散文《从百草园到三味书屋》，为积累素材做好准备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任务一：积累·扫清字词常识障碍</w:t>
      </w:r>
    </w:p>
    <w:p w14:paraId="27F52D7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000000"/>
          <w:szCs w:val="21"/>
        </w:rPr>
        <w:t>考虑到有些同学对鲁迅和本文的出处《朝花夕拾》还是不甚了解，校园摄影社团准备先制作一个“作者简介”和“背景链接”的展板，请你根据课本注释和查阅资料所得，为摄影社团提供素材。</w:t>
      </w:r>
    </w:p>
    <w:p w14:paraId="3F29B5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1198B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鲁迅(1881-1936)，原名周树人，字豫才，浙江绍兴人。文学家、思想家、革命家。</w:t>
      </w:r>
    </w:p>
    <w:p w14:paraId="12E0B81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代表作有小说集《呐喊》《彷徨》《故事新编》，散文集《朝花夕拾》，散文诗《野草》和杂文集《坟》《热风》《且介亭杂文》等。</w:t>
      </w:r>
    </w:p>
    <w:p w14:paraId="213D7A9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他的小说《狂人日记》是中国现代文学史上第一篇白话文小说。</w:t>
      </w:r>
    </w:p>
    <w:p w14:paraId="42D2F9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他的作品语言犀利精辟，如投枪，如匕首，被誉为“民族魂”。</w:t>
      </w:r>
    </w:p>
    <w:p w14:paraId="3E6F8E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本文写于1926年9月18日。当时鲁迅被反动当局列入拟通缉的北平文教界五十人名单，鲁迅难以公开同反动势力进行斗争，被迫于1926年应厦门大学的邀请而离开北京。</w:t>
      </w:r>
    </w:p>
    <w:p w14:paraId="508DB4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人生的起伏变动，使鲁迅心情“空洞、芜杂’“想在纷扰中寻出一点闲静来”。他把目光投向了旧事，希望借旧事的回忆来排除苦闷，寻求慰藉。这些回忆性散文以“旧事重提”为总名，陆续发表在《莽原》半月刊上，结集时改题为《朝花夕拾》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2.自由读一读课后“读读写写”的词语，并把生难字注上拼音。</w:t>
      </w:r>
    </w:p>
    <w:p w14:paraId="7F2577D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窜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（cuàn）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觅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（mì）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跪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（ɡuì）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拗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（ǎo）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攒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（cuán）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敛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（liǎn）</w:t>
      </w:r>
    </w:p>
    <w:p w14:paraId="3DE7B4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确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凿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（záo）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轻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捷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（jié）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  云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霄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（xiāo）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倘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若（tǎnɡ）</w:t>
      </w:r>
    </w:p>
    <w:p w14:paraId="44049C8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鉴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赏（jiàn）  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啄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食（zhuó）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 和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蔼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（ǎi ）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恭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敬（ɡōnɡ）</w:t>
      </w:r>
    </w:p>
    <w:p w14:paraId="170556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质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朴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（pǔ）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博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学（bó）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渊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博（yuān）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倜傥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（tì tǎng）</w:t>
      </w:r>
    </w:p>
    <w:p w14:paraId="35E723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淋漓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（lín lí）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盔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甲（kuī）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绅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士（shēn）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 人迹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罕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至（hǎn）</w:t>
      </w:r>
    </w:p>
    <w:p w14:paraId="460D35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人声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鼎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沸（dǐng） 菜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畦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（qí）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皂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荚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（jiá）      桑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椹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（shèn）</w:t>
      </w:r>
    </w:p>
    <w:p w14:paraId="512654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油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蛉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（líng）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斑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蝥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（máo）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  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秕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谷（bǐ）       蝉</w:t>
      </w:r>
      <w:r>
        <w:rPr>
          <w:rFonts w:hint="default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蜕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（tuì）  </w:t>
      </w:r>
    </w:p>
    <w:p w14:paraId="4AE0D7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注：攒，1.凑在一块儿，读cuán，如：攒土2.积聚、储蓄，读zǎn。如：攒钱</w:t>
      </w:r>
    </w:p>
    <w:p w14:paraId="0AE5D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任务二：默读·感知儿时成长之路</w:t>
      </w:r>
    </w:p>
    <w:p w14:paraId="46ADFF3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1.读一篇文章，我们可以先关注标题，标题有时会给我们很多阅读提示。齐读标题，大家看看可以获得哪些有用的信息。</w:t>
      </w:r>
    </w:p>
    <w:p w14:paraId="7FE0768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131363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“从……到……”表明文章是以是以空间的变换为顺序记叙的。</w:t>
      </w:r>
    </w:p>
    <w:p w14:paraId="4AB08A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 从题目“从百草园到三味书屋”，先写百草园的生活，再写三味书屋的生活，共写了两部分。</w:t>
      </w:r>
    </w:p>
    <w:p w14:paraId="5D3558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全文应该是作者关于儿时的一段成长经历的回忆。</w:t>
      </w:r>
    </w:p>
    <w:p w14:paraId="5A4967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2.默读可以提高阅读速度，有利于较快把握文章大意。试着采用默读的方式，一气读完全文，了解课文大意，印证你刚才的猜想。</w:t>
      </w:r>
    </w:p>
    <w:p w14:paraId="7CF61B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默读提示：</w:t>
      </w:r>
    </w:p>
    <w:p w14:paraId="70A33F3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①默读时不出声、不动唇、不动指，一气呵成读完全文，遇到不理解或不会读的生字词做记号后暂时跳过。</w:t>
      </w:r>
    </w:p>
    <w:p w14:paraId="18FBC7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②留意关键语句（如标题、开头、结尾、过渡段），边读边做记号。</w:t>
      </w:r>
    </w:p>
    <w:p w14:paraId="23047D9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③全文共计2473个字，争取在6分钟之内读完。</w:t>
      </w:r>
    </w:p>
    <w:p w14:paraId="057240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4EF02A6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关键语句：</w:t>
      </w:r>
    </w:p>
    <w:p w14:paraId="6714D6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从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百草园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到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三味书屋(标题)</w:t>
      </w:r>
    </w:p>
    <w:p w14:paraId="37B2180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其中似乎确凿只有一些野草;但那时却是我的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乐园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。(第1段)</w:t>
      </w:r>
    </w:p>
    <w:p w14:paraId="4F1E0A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我不知道为什么家里的人要将我送进书塾里去了,而且还是全城中称为最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严厉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的书塾。(第9段)</w:t>
      </w:r>
    </w:p>
    <w:p w14:paraId="279E5B2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这东西早已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没有了罢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。(结尾)</w:t>
      </w:r>
    </w:p>
    <w:p w14:paraId="0B02A8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篇章内容：</w:t>
      </w:r>
    </w:p>
    <w:p w14:paraId="50448B15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3882390" cy="1894205"/>
            <wp:effectExtent l="0" t="0" r="3810" b="1079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rcRect l="1511"/>
                    <a:stretch>
                      <a:fillRect/>
                    </a:stretch>
                  </pic:blipFill>
                  <pic:spPr>
                    <a:xfrm>
                      <a:off x="0" y="0"/>
                      <a:ext cx="3882390" cy="189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17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任务三：精读·探寻“百草园”之“乐”</w:t>
      </w:r>
    </w:p>
    <w:p w14:paraId="6F652C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1.文中说，百草园“其中似乎确凿只有一些野草；但那时却是我的乐园”，“乐园”之“乐”表现在哪些方面？再次默读课文1-8段，关注“我”的活动，进行探究。</w:t>
      </w:r>
    </w:p>
    <w:p w14:paraId="18D3E3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10D36FF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“乐园”之“乐”表现在：在百草园里抓虫子、拔野草的乐趣，听长妈妈讲美女蛇故事的乐趣，在大雪天里跟闰土父亲学捕鸟的乐趣。</w:t>
      </w:r>
    </w:p>
    <w:p w14:paraId="2A4FB6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2.第2自然段写景，非常精彩。百草园的一切，在少年鲁迅的心目中显得那样生机勃勃，情趣盎然，试根据下列表格提示对这段景物描写做简要分析。</w:t>
      </w:r>
    </w:p>
    <w:tbl>
      <w:tblPr>
        <w:tblStyle w:val="8"/>
        <w:tblW w:w="0" w:type="auto"/>
        <w:tblInd w:w="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10"/>
        <w:gridCol w:w="8168"/>
      </w:tblGrid>
      <w:tr w14:paraId="7F31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vAlign w:val="center"/>
          </w:tcPr>
          <w:p w14:paraId="7CE5030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描写角度</w:t>
            </w:r>
          </w:p>
        </w:tc>
        <w:tc>
          <w:tcPr>
            <w:tcW w:w="8168" w:type="dxa"/>
            <w:vAlign w:val="center"/>
          </w:tcPr>
          <w:p w14:paraId="5C8B531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景物</w:t>
            </w:r>
          </w:p>
        </w:tc>
      </w:tr>
      <w:tr w14:paraId="067BD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vAlign w:val="center"/>
          </w:tcPr>
          <w:p w14:paraId="22F0162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静态</w:t>
            </w:r>
          </w:p>
        </w:tc>
        <w:tc>
          <w:tcPr>
            <w:tcW w:w="8168" w:type="dxa"/>
            <w:vAlign w:val="center"/>
          </w:tcPr>
          <w:p w14:paraId="18C7014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422D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vAlign w:val="center"/>
          </w:tcPr>
          <w:p w14:paraId="0F41335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动态</w:t>
            </w:r>
          </w:p>
        </w:tc>
        <w:tc>
          <w:tcPr>
            <w:tcW w:w="8168" w:type="dxa"/>
            <w:vAlign w:val="center"/>
          </w:tcPr>
          <w:p w14:paraId="6B63492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A77E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00" w:type="dxa"/>
            <w:vMerge w:val="restart"/>
            <w:vAlign w:val="center"/>
          </w:tcPr>
          <w:p w14:paraId="2BE17CF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视觉</w:t>
            </w:r>
          </w:p>
        </w:tc>
        <w:tc>
          <w:tcPr>
            <w:tcW w:w="810" w:type="dxa"/>
            <w:vAlign w:val="center"/>
          </w:tcPr>
          <w:p w14:paraId="01D4757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色</w:t>
            </w:r>
          </w:p>
        </w:tc>
        <w:tc>
          <w:tcPr>
            <w:tcW w:w="8168" w:type="dxa"/>
            <w:vAlign w:val="center"/>
          </w:tcPr>
          <w:p w14:paraId="009DF61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A680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00" w:type="dxa"/>
            <w:vMerge w:val="continue"/>
            <w:vAlign w:val="center"/>
          </w:tcPr>
          <w:p w14:paraId="1F18C5E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 w14:paraId="6091460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形</w:t>
            </w:r>
          </w:p>
        </w:tc>
        <w:tc>
          <w:tcPr>
            <w:tcW w:w="8168" w:type="dxa"/>
            <w:vAlign w:val="center"/>
          </w:tcPr>
          <w:p w14:paraId="2C91B23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30F42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vAlign w:val="center"/>
          </w:tcPr>
          <w:p w14:paraId="167221C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听觉</w:t>
            </w:r>
          </w:p>
        </w:tc>
        <w:tc>
          <w:tcPr>
            <w:tcW w:w="8168" w:type="dxa"/>
            <w:vAlign w:val="center"/>
          </w:tcPr>
          <w:p w14:paraId="3FCF888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4B04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710" w:type="dxa"/>
            <w:gridSpan w:val="2"/>
            <w:vAlign w:val="center"/>
          </w:tcPr>
          <w:p w14:paraId="650598E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味觉</w:t>
            </w:r>
          </w:p>
        </w:tc>
        <w:tc>
          <w:tcPr>
            <w:tcW w:w="8168" w:type="dxa"/>
            <w:vAlign w:val="center"/>
          </w:tcPr>
          <w:p w14:paraId="527F0B1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27EAE5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tbl>
      <w:tblPr>
        <w:tblStyle w:val="8"/>
        <w:tblW w:w="0" w:type="auto"/>
        <w:tblInd w:w="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10"/>
        <w:gridCol w:w="8168"/>
      </w:tblGrid>
      <w:tr w14:paraId="5910A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vAlign w:val="center"/>
          </w:tcPr>
          <w:p w14:paraId="5E194F3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描写角度</w:t>
            </w:r>
          </w:p>
        </w:tc>
        <w:tc>
          <w:tcPr>
            <w:tcW w:w="8168" w:type="dxa"/>
            <w:vAlign w:val="center"/>
          </w:tcPr>
          <w:p w14:paraId="3F7D835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景物</w:t>
            </w:r>
          </w:p>
        </w:tc>
      </w:tr>
      <w:tr w14:paraId="31A96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vAlign w:val="center"/>
          </w:tcPr>
          <w:p w14:paraId="526D53A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静态</w:t>
            </w:r>
          </w:p>
        </w:tc>
        <w:tc>
          <w:tcPr>
            <w:tcW w:w="8168" w:type="dxa"/>
            <w:vAlign w:val="center"/>
          </w:tcPr>
          <w:p w14:paraId="26A0AD44">
            <w:pPr>
              <w:tabs>
                <w:tab w:val="left" w:pos="4320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菜畦、石井栏、皂荚树、桑椹、何首乌、木莲、覆盆子……</w:t>
            </w:r>
          </w:p>
        </w:tc>
      </w:tr>
      <w:tr w14:paraId="1C3FC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vAlign w:val="center"/>
          </w:tcPr>
          <w:p w14:paraId="0E1327B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动态</w:t>
            </w:r>
          </w:p>
        </w:tc>
        <w:tc>
          <w:tcPr>
            <w:tcW w:w="8168" w:type="dxa"/>
            <w:vAlign w:val="center"/>
          </w:tcPr>
          <w:p w14:paraId="73403498">
            <w:pPr>
              <w:tabs>
                <w:tab w:val="left" w:pos="4320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黄蜂、鸣蝉、叫天子、油蛉、蟋蟀……</w:t>
            </w:r>
          </w:p>
        </w:tc>
      </w:tr>
      <w:tr w14:paraId="51170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00" w:type="dxa"/>
            <w:vMerge w:val="restart"/>
            <w:vAlign w:val="center"/>
          </w:tcPr>
          <w:p w14:paraId="1E3F4C6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视觉</w:t>
            </w:r>
          </w:p>
        </w:tc>
        <w:tc>
          <w:tcPr>
            <w:tcW w:w="810" w:type="dxa"/>
            <w:vAlign w:val="center"/>
          </w:tcPr>
          <w:p w14:paraId="0CBF24E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色</w:t>
            </w:r>
          </w:p>
        </w:tc>
        <w:tc>
          <w:tcPr>
            <w:tcW w:w="8168" w:type="dxa"/>
            <w:vAlign w:val="center"/>
          </w:tcPr>
          <w:p w14:paraId="1F6C0C0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right="0"/>
              <w:jc w:val="left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碧绿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的菜畦，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紫红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的桑椹，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黄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蜂伏在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菜花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上……</w:t>
            </w:r>
          </w:p>
        </w:tc>
      </w:tr>
      <w:tr w14:paraId="47491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00" w:type="dxa"/>
            <w:vMerge w:val="continue"/>
            <w:vAlign w:val="center"/>
          </w:tcPr>
          <w:p w14:paraId="0DE5F18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 w14:paraId="7F41FA6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形</w:t>
            </w:r>
          </w:p>
        </w:tc>
        <w:tc>
          <w:tcPr>
            <w:tcW w:w="8168" w:type="dxa"/>
            <w:vAlign w:val="center"/>
          </w:tcPr>
          <w:p w14:paraId="0C3E3D9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right="0"/>
              <w:jc w:val="left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光滑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的石井栏，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高大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的皂荚树，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肥胖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的黄蜂，何首乌和木莲藤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缠络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着，木莲有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莲房一般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的果实，何首乌有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臃肿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的根，（覆盆子）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em w:val="dot"/>
                <w:lang w:val="en-US" w:eastAsia="zh-CN" w:bidi="ar"/>
              </w:rPr>
              <w:t>像小珊瑚攒成的小球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……  </w:t>
            </w:r>
          </w:p>
        </w:tc>
      </w:tr>
      <w:tr w14:paraId="7CA20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10" w:type="dxa"/>
            <w:gridSpan w:val="2"/>
            <w:vAlign w:val="center"/>
          </w:tcPr>
          <w:p w14:paraId="46ECBC8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听觉</w:t>
            </w:r>
          </w:p>
        </w:tc>
        <w:tc>
          <w:tcPr>
            <w:tcW w:w="8168" w:type="dxa"/>
            <w:vAlign w:val="center"/>
          </w:tcPr>
          <w:p w14:paraId="16AB13F9">
            <w:pPr>
              <w:tabs>
                <w:tab w:val="left" w:pos="4320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鸣蝉在树叶里长吟，油蛉在这里低唱，蟋蟀在这里弹琴。 </w:t>
            </w:r>
          </w:p>
        </w:tc>
      </w:tr>
      <w:tr w14:paraId="2A196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710" w:type="dxa"/>
            <w:gridSpan w:val="2"/>
            <w:vAlign w:val="center"/>
          </w:tcPr>
          <w:p w14:paraId="5A61265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味觉</w:t>
            </w:r>
          </w:p>
        </w:tc>
        <w:tc>
          <w:tcPr>
            <w:tcW w:w="8168" w:type="dxa"/>
            <w:vAlign w:val="center"/>
          </w:tcPr>
          <w:p w14:paraId="1ADE985D">
            <w:pPr>
              <w:tabs>
                <w:tab w:val="left" w:pos="4320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覆盆子又酸又甜</w:t>
            </w:r>
          </w:p>
        </w:tc>
      </w:tr>
    </w:tbl>
    <w:p w14:paraId="09E1A68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批注：百草园形、声、色、味俱全</w:t>
      </w:r>
    </w:p>
    <w:p w14:paraId="462BCA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3.第2自然段写景，不但写得精彩，形、声、色、味俱全，而且写景顺序也是层次井然，讲究章法，试根据下列表格提示做简要分析。</w:t>
      </w:r>
    </w:p>
    <w:tbl>
      <w:tblPr>
        <w:tblStyle w:val="8"/>
        <w:tblW w:w="0" w:type="auto"/>
        <w:tblInd w:w="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970"/>
        <w:gridCol w:w="7688"/>
      </w:tblGrid>
      <w:tr w14:paraId="3C9B0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vAlign w:val="center"/>
          </w:tcPr>
          <w:p w14:paraId="3E8CD17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写景顺序</w:t>
            </w:r>
          </w:p>
        </w:tc>
        <w:tc>
          <w:tcPr>
            <w:tcW w:w="7688" w:type="dxa"/>
            <w:vAlign w:val="center"/>
          </w:tcPr>
          <w:p w14:paraId="581A69D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分析</w:t>
            </w:r>
          </w:p>
        </w:tc>
      </w:tr>
      <w:tr w14:paraId="7F8ED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vAlign w:val="center"/>
          </w:tcPr>
          <w:p w14:paraId="60B6A7A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整体到局部的顺序</w:t>
            </w:r>
          </w:p>
        </w:tc>
        <w:tc>
          <w:tcPr>
            <w:tcW w:w="7688" w:type="dxa"/>
            <w:vAlign w:val="center"/>
          </w:tcPr>
          <w:p w14:paraId="7A8EE65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36FB3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vAlign w:val="center"/>
          </w:tcPr>
          <w:p w14:paraId="0D7204A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时间顺序（季节）</w:t>
            </w:r>
          </w:p>
        </w:tc>
        <w:tc>
          <w:tcPr>
            <w:tcW w:w="7688" w:type="dxa"/>
            <w:vAlign w:val="center"/>
          </w:tcPr>
          <w:p w14:paraId="7884D92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F20B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220" w:type="dxa"/>
            <w:vMerge w:val="restart"/>
            <w:vAlign w:val="center"/>
          </w:tcPr>
          <w:p w14:paraId="7488F13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空间顺序</w:t>
            </w:r>
          </w:p>
        </w:tc>
        <w:tc>
          <w:tcPr>
            <w:tcW w:w="970" w:type="dxa"/>
            <w:vAlign w:val="center"/>
          </w:tcPr>
          <w:p w14:paraId="043D4AC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静景</w:t>
            </w:r>
          </w:p>
        </w:tc>
        <w:tc>
          <w:tcPr>
            <w:tcW w:w="7688" w:type="dxa"/>
            <w:vAlign w:val="center"/>
          </w:tcPr>
          <w:p w14:paraId="774DC74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377C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220" w:type="dxa"/>
            <w:vMerge w:val="continue"/>
            <w:vAlign w:val="center"/>
          </w:tcPr>
          <w:p w14:paraId="458DFCC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vAlign w:val="center"/>
          </w:tcPr>
          <w:p w14:paraId="14C702B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动景</w:t>
            </w:r>
          </w:p>
        </w:tc>
        <w:tc>
          <w:tcPr>
            <w:tcW w:w="7688" w:type="dxa"/>
            <w:vAlign w:val="center"/>
          </w:tcPr>
          <w:p w14:paraId="283895A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E101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vAlign w:val="center"/>
          </w:tcPr>
          <w:p w14:paraId="72081AA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景类顺序</w:t>
            </w:r>
          </w:p>
        </w:tc>
        <w:tc>
          <w:tcPr>
            <w:tcW w:w="7688" w:type="dxa"/>
            <w:vAlign w:val="center"/>
          </w:tcPr>
          <w:p w14:paraId="7C5556E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480F422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tbl>
      <w:tblPr>
        <w:tblStyle w:val="8"/>
        <w:tblW w:w="0" w:type="auto"/>
        <w:tblInd w:w="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970"/>
        <w:gridCol w:w="7688"/>
      </w:tblGrid>
      <w:tr w14:paraId="5F307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vAlign w:val="center"/>
          </w:tcPr>
          <w:p w14:paraId="57B9310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写景顺序</w:t>
            </w:r>
          </w:p>
        </w:tc>
        <w:tc>
          <w:tcPr>
            <w:tcW w:w="7688" w:type="dxa"/>
            <w:vAlign w:val="center"/>
          </w:tcPr>
          <w:p w14:paraId="3367877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分析</w:t>
            </w:r>
          </w:p>
        </w:tc>
      </w:tr>
      <w:tr w14:paraId="5783F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vAlign w:val="center"/>
          </w:tcPr>
          <w:p w14:paraId="48D8A99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整体到局部的顺序</w:t>
            </w:r>
          </w:p>
        </w:tc>
        <w:tc>
          <w:tcPr>
            <w:tcW w:w="7688" w:type="dxa"/>
            <w:vAlign w:val="center"/>
          </w:tcPr>
          <w:p w14:paraId="3FD55F6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不必说……也不必说……单是……</w:t>
            </w:r>
          </w:p>
        </w:tc>
      </w:tr>
      <w:tr w14:paraId="0FB8D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vAlign w:val="center"/>
          </w:tcPr>
          <w:p w14:paraId="7A0DECF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时间顺序（季节）</w:t>
            </w:r>
          </w:p>
        </w:tc>
        <w:tc>
          <w:tcPr>
            <w:tcW w:w="7688" w:type="dxa"/>
            <w:vAlign w:val="center"/>
          </w:tcPr>
          <w:p w14:paraId="1B6C366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春（菜畦、皂荚树、桑椹）→夏（鸣蝉、黄蜂、叫天子）→秋（油蛉、蟋蟀……）</w:t>
            </w:r>
          </w:p>
        </w:tc>
      </w:tr>
      <w:tr w14:paraId="3BB4C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220" w:type="dxa"/>
            <w:vMerge w:val="restart"/>
            <w:vAlign w:val="center"/>
          </w:tcPr>
          <w:p w14:paraId="4E09B33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空间顺序</w:t>
            </w:r>
          </w:p>
        </w:tc>
        <w:tc>
          <w:tcPr>
            <w:tcW w:w="970" w:type="dxa"/>
            <w:vAlign w:val="center"/>
          </w:tcPr>
          <w:p w14:paraId="055F4E3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静景</w:t>
            </w:r>
          </w:p>
        </w:tc>
        <w:tc>
          <w:tcPr>
            <w:tcW w:w="7688" w:type="dxa"/>
            <w:vAlign w:val="center"/>
          </w:tcPr>
          <w:p w14:paraId="6D93CBD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低→高（菜畦、石井栏、皂荚树、桑椹）</w:t>
            </w:r>
          </w:p>
        </w:tc>
      </w:tr>
      <w:tr w14:paraId="7FE16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220" w:type="dxa"/>
            <w:vMerge w:val="continue"/>
            <w:vAlign w:val="center"/>
          </w:tcPr>
          <w:p w14:paraId="41728E6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vAlign w:val="center"/>
          </w:tcPr>
          <w:p w14:paraId="1E94A86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动景</w:t>
            </w:r>
          </w:p>
        </w:tc>
        <w:tc>
          <w:tcPr>
            <w:tcW w:w="7688" w:type="dxa"/>
            <w:vAlign w:val="center"/>
          </w:tcPr>
          <w:p w14:paraId="6DA7600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高→低（鸣蝉、黄蜂、叫天子）</w:t>
            </w:r>
          </w:p>
        </w:tc>
      </w:tr>
      <w:tr w14:paraId="582B2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90" w:type="dxa"/>
            <w:gridSpan w:val="2"/>
            <w:vAlign w:val="center"/>
          </w:tcPr>
          <w:p w14:paraId="6A14D00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景类顺序</w:t>
            </w:r>
          </w:p>
        </w:tc>
        <w:tc>
          <w:tcPr>
            <w:tcW w:w="7688" w:type="dxa"/>
            <w:vAlign w:val="center"/>
          </w:tcPr>
          <w:p w14:paraId="43B5AD3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植物（菜畦、皂荚树……）→动物（鸣蝉、油蛉……）→植物（何首乌、木莲……）</w:t>
            </w:r>
          </w:p>
        </w:tc>
      </w:tr>
    </w:tbl>
    <w:p w14:paraId="12E097B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批注：井然有序、活泼多姿</w:t>
      </w:r>
    </w:p>
    <w:p w14:paraId="48C0F80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4.第2自然段“不必说……也不必说……单是……”中，哪个内容是强调的重点？前两个“不必说”在表达上有什么作用？</w:t>
      </w:r>
    </w:p>
    <w:p w14:paraId="6156950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预设：“单是”后面的内容是强调的重点。前两个“不必说”不仅突出了“单是”后面的内容，还表现了鲁迅一一历数儿时趣味时的欣喜，表现出儿童所特有的一种情趣。</w:t>
      </w:r>
    </w:p>
    <w:p w14:paraId="399397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5.请你仿照第2自然段，描写一处景物，用上“不必说……也不必说……单是……”这个句式，并注意合理安排描写的顺序，运用多种描写方法。</w:t>
      </w:r>
    </w:p>
    <w:p w14:paraId="74D2C3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3E2615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：不必说蓝蓝的海水，柔和的日光，金黄的沙滩，嬉闹的人群，也不必说海浪拍击岩石的哗哗声，海滨沐浴的惬意，海上冲浪的快感，单是在海滩上捕捉小海蟹，就有无穷的乐趣。光着脚走在松软平整的海滩上，突然一只螃蟹从小洞里钻出来，我们赶紧去抓，哪知螃蟹跑得很快，转眼就不见了……</w:t>
      </w:r>
    </w:p>
    <w:p w14:paraId="0E003C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6.有人认为美女蛇的故事是赘笔，没必要写。你是否同意?简要说明理由。</w:t>
      </w:r>
    </w:p>
    <w:p w14:paraId="35AEAFC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234BCAF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美女蛇的故事虽然与百草园中的赤练蛇没有关系，作者却由此开始生发出联想。“长的草里是不去的，因为相传这园里有一条很大的赤练蛇。”先由百草园的草联想到草中的赤练蛇，再由赤练蛇联想到长妈妈讲述的美女蛇故事。很明显，美女蛇的故事深深地吸引着“我”，而这故事让“我”产生了“做人之险”的感受，同时也给百草园增添了更多的神秘色彩。所以多年以后“我”还清楚地记得。这一段看似闲笔，却写出了儿童的心理，写出了童年的“我”的心目中世界奇特的色彩，是全文有机的组成部分。</w:t>
      </w:r>
    </w:p>
    <w:p w14:paraId="5A8A3E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7.第7段“雪地捕鸟”一段文字也写的很精彩，读一遍，然后把下面一段摘录补上动词，并品一品这些动词的妙处。</w:t>
      </w:r>
    </w:p>
    <w:p w14:paraId="5DA849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开一块雪，露出地面，用一枝短棒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起一面大的竹筛来，下面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 xml:space="preserve">些秕谷，棒上 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一条长绳，人远远地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着，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鸟雀下来啄食，走到竹筛底下的时候，将绳子一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，便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住了。</w:t>
      </w:r>
    </w:p>
    <w:p w14:paraId="7EE13A8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预设：扫 支 撒 系 牵 看 拉 罩</w:t>
      </w:r>
    </w:p>
    <w:p w14:paraId="1ECF7A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 这些动词准确生动地写出了捕鸟的全过程，表现了冬天下雪时的百草园给“我”带来了无穷的乐趣，说明了百草园的确是“我”的乐园。</w:t>
      </w:r>
    </w:p>
    <w:p w14:paraId="49E92A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8.“雪地捕鸟”一段话的魅力在于准确。动词准确，形容词更准确：可以想想短棒为何短？竹筛为何大？绳子为何要长？为何要远远牵着？这一段根本不是在描写，简直就是一张捕鸟说明书！那么准确的背后我们有能读出什么呢？</w:t>
      </w:r>
    </w:p>
    <w:p w14:paraId="2B80403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24BFD34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隔了三十多年，鲁迅还能如此准确地记住捕鸟的一个个细节和窍门，是因为有无数次捕鸟成功或失败的鲜活经验，有最认真投入的探究态度。这个世界上，大约只有孩子才会把玩耍看得如此重要，如此虔诚，如此兴致勃勃，一丝不苟。</w:t>
      </w:r>
    </w:p>
    <w:p w14:paraId="7F0885A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9.第8段看似平淡的叙述，却尽显“我”在雪地捕鸟过程中的心情变化。读一读，思考应该读出怎样的语气、情感？在括号处补写出“我”的心情。</w:t>
      </w:r>
    </w:p>
    <w:p w14:paraId="65C75C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这是闰土的父亲所传授的方法，我却不大能用。明明见它们进去了，拉了绳（        ），跑去一看，却什么都没有（     ），费了半天力，捉住的不过三四只（     ）。闰土的父亲是小半天便能捕获几十只，装在叉袋里叫着撞着的（     ）。我曾经问他得失的缘由，他只静静地笑道：“你太性急，来不及等它走到中间去（     ）。</w:t>
      </w:r>
    </w:p>
    <w:p w14:paraId="5AAA4D2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预设：紧张期待  失望  沮丧  羡慕  佩服</w:t>
      </w:r>
    </w:p>
    <w:p w14:paraId="002B149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10.写冬天的捕鸟活动在篇章结构上有何意义呢？</w:t>
      </w:r>
    </w:p>
    <w:p w14:paraId="3DA1F0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预设：前面写了春、夏、秋的景物，这里再单写冬天的捕鸟活动，正好构成一幅百草园四季图。</w:t>
      </w:r>
    </w:p>
    <w:p w14:paraId="560E576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11.小结：作者如何表现出“百草园”乐趣的?</w:t>
      </w:r>
    </w:p>
    <w:p w14:paraId="5EA737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A64DB1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①形象生动的细节描摹</w:t>
      </w:r>
    </w:p>
    <w:p w14:paraId="0D94E1B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色彩的描绘,给人强烈的视觉冲击,勾画出鲜活的画面,表现“我”轻松、愉悦的心理状态。形状的描摹,生动地再现了各类动植物的具体情态,形象可感。听觉的描写,赋予昆虫人的情思与行动,精确而传神。味觉的展现,增添了百草园多姿多彩的奇妙乐趣。</w:t>
      </w:r>
    </w:p>
    <w:p w14:paraId="33E412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②既抓住事物的特点，又符会儿童的心理</w:t>
      </w:r>
    </w:p>
    <w:p w14:paraId="0F33C7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石井栏之所以“光滑”，是因为经过了经年累月的使用，而且童年的鲁迅一定多次好奇地摸过它，才会对这一特征念念不忘。说黄蜂“肥胖不仅是它的体态较别的昆虫肥大，而且是儿童的特别的感觉。叫天子忽然间“直窜向云霄里去了”，也不单写出这种鸟儿的机灵轻捷，还表现出儿童的羡意。至于写油岭“低唱”、蟋蟀弹琴”，更是儿童特具的感受。</w:t>
      </w:r>
    </w:p>
    <w:p w14:paraId="4180B51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③层次井然的记述顺序</w:t>
      </w:r>
    </w:p>
    <w:p w14:paraId="107A47B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“不必说……也不必说……单是……”这一句型结构从百草园整体到其中某一个局部,突出了“泥墙根一带”对于儿童的特殊吸引力,表现了作者历数儿时趣味的欢喜,表现出儿童特有的一种情趣。写景时有序的时空安排,使百草园中纷繁、杂乱的景物得到清晰而有条理的组织,使文章结构层次更加分明。</w:t>
      </w:r>
    </w:p>
    <w:p w14:paraId="71EE39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④独具情韵的童真回忆</w:t>
      </w:r>
    </w:p>
    <w:p w14:paraId="64F7F1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“美女蛇”的传说写出了“我”听故事时的紧张、好奇,也给百草园增添了更多的神秘色彩。“雪地捕鸟”的回忆表现出冬季百草园的妙趣横生,再现了儿童对大自然的好奇与亲近。</w:t>
      </w:r>
    </w:p>
    <w:p w14:paraId="0FEED1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12.小结：“百草园”之“乐”，“乐”的根源在哪里？</w:t>
      </w:r>
    </w:p>
    <w:p w14:paraId="13B2283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预设：天性释放、身心自由</w:t>
      </w:r>
    </w:p>
    <w:p w14:paraId="57807D4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35C17525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二</w:t>
      </w:r>
      <w:r>
        <w:rPr>
          <w:rFonts w:ascii="宋体" w:hAnsi="宋体" w:eastAsia="宋体" w:cs="Times New Roman"/>
          <w:b/>
          <w:bCs/>
          <w:szCs w:val="21"/>
        </w:rPr>
        <w:t>课时</w:t>
      </w:r>
    </w:p>
    <w:p w14:paraId="59172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43CA1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鲁迅以儿童视角回忆了“百草园”的快乐生活，充分展示了儿童不可压抑的快乐天性。但无忧无虑的童年终将逝去,“三味书屋”又将开启“我”怎样的成长旅程呢？我们这节课继续探究，为“致敬童年，感悟成长”名人童年故事摄影集积累素材做准备。</w:t>
      </w:r>
    </w:p>
    <w:p w14:paraId="553D1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30E0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任务四：研读·辨析“三味书屋”之“严”与“趣”</w:t>
      </w:r>
    </w:p>
    <w:p w14:paraId="5909D4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1.默读课文第二部分，说说作者从哪些方面写了三味书屋的读书生活。</w:t>
      </w:r>
    </w:p>
    <w:p w14:paraId="4A57066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1E7F05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三味书屋的读书生活：</w:t>
      </w:r>
    </w:p>
    <w:p w14:paraId="417EAF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书屋内的陈设（第10段）</w:t>
      </w:r>
    </w:p>
    <w:p w14:paraId="13A244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对先生的印象（第11段）</w:t>
      </w:r>
    </w:p>
    <w:p w14:paraId="6CF76E3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询问怪哉虫（第12-16段）</w:t>
      </w:r>
    </w:p>
    <w:p w14:paraId="57911A8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后园拾趣（第17-20段）</w:t>
      </w:r>
    </w:p>
    <w:p w14:paraId="7B879ED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师生读书（第21-23段）</w:t>
      </w:r>
    </w:p>
    <w:p w14:paraId="57769E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做戏、画画（第24段）</w:t>
      </w:r>
    </w:p>
    <w:p w14:paraId="34E5220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2.你认为“三味书屋”的生活是“严”还是“趣”?结合具体内容说说你的依据。</w:t>
      </w:r>
    </w:p>
    <w:tbl>
      <w:tblPr>
        <w:tblStyle w:val="8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720"/>
        <w:gridCol w:w="3080"/>
        <w:gridCol w:w="3190"/>
      </w:tblGrid>
      <w:tr w14:paraId="2EFB1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50" w:type="dxa"/>
            <w:vAlign w:val="center"/>
          </w:tcPr>
          <w:p w14:paraId="799A69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内容</w:t>
            </w:r>
          </w:p>
        </w:tc>
        <w:tc>
          <w:tcPr>
            <w:tcW w:w="2720" w:type="dxa"/>
            <w:vAlign w:val="center"/>
          </w:tcPr>
          <w:p w14:paraId="59AE4B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“严”</w:t>
            </w:r>
          </w:p>
        </w:tc>
        <w:tc>
          <w:tcPr>
            <w:tcW w:w="3080" w:type="dxa"/>
            <w:vAlign w:val="center"/>
          </w:tcPr>
          <w:p w14:paraId="290E7AD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“趣”</w:t>
            </w:r>
          </w:p>
        </w:tc>
        <w:tc>
          <w:tcPr>
            <w:tcW w:w="3190" w:type="dxa"/>
            <w:vAlign w:val="center"/>
          </w:tcPr>
          <w:p w14:paraId="250677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点评</w:t>
            </w:r>
          </w:p>
        </w:tc>
      </w:tr>
      <w:tr w14:paraId="289A2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50" w:type="dxa"/>
            <w:vAlign w:val="center"/>
          </w:tcPr>
          <w:p w14:paraId="5B27E6A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行礼</w:t>
            </w:r>
          </w:p>
        </w:tc>
        <w:tc>
          <w:tcPr>
            <w:tcW w:w="2720" w:type="dxa"/>
          </w:tcPr>
          <w:p w14:paraId="0917E5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080" w:type="dxa"/>
          </w:tcPr>
          <w:p w14:paraId="65E681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190" w:type="dxa"/>
          </w:tcPr>
          <w:p w14:paraId="125D0D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1DDBD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50" w:type="dxa"/>
            <w:vAlign w:val="center"/>
          </w:tcPr>
          <w:p w14:paraId="43124E2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课堂</w:t>
            </w:r>
          </w:p>
        </w:tc>
        <w:tc>
          <w:tcPr>
            <w:tcW w:w="2720" w:type="dxa"/>
          </w:tcPr>
          <w:p w14:paraId="75A5FC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080" w:type="dxa"/>
          </w:tcPr>
          <w:p w14:paraId="6C52BE3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190" w:type="dxa"/>
          </w:tcPr>
          <w:p w14:paraId="191070B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6B03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50" w:type="dxa"/>
            <w:vAlign w:val="center"/>
          </w:tcPr>
          <w:p w14:paraId="0920F1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先生</w:t>
            </w:r>
          </w:p>
        </w:tc>
        <w:tc>
          <w:tcPr>
            <w:tcW w:w="2720" w:type="dxa"/>
          </w:tcPr>
          <w:p w14:paraId="78A958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080" w:type="dxa"/>
          </w:tcPr>
          <w:p w14:paraId="0278CC4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190" w:type="dxa"/>
          </w:tcPr>
          <w:p w14:paraId="081EFB7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6AEF667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6116B6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tbl>
      <w:tblPr>
        <w:tblStyle w:val="8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720"/>
        <w:gridCol w:w="3080"/>
        <w:gridCol w:w="3190"/>
      </w:tblGrid>
      <w:tr w14:paraId="7657B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50" w:type="dxa"/>
            <w:vAlign w:val="center"/>
          </w:tcPr>
          <w:p w14:paraId="5BC927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内容</w:t>
            </w:r>
          </w:p>
        </w:tc>
        <w:tc>
          <w:tcPr>
            <w:tcW w:w="2720" w:type="dxa"/>
            <w:vAlign w:val="center"/>
          </w:tcPr>
          <w:p w14:paraId="1CFE70F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“严”</w:t>
            </w:r>
          </w:p>
        </w:tc>
        <w:tc>
          <w:tcPr>
            <w:tcW w:w="3080" w:type="dxa"/>
            <w:vAlign w:val="center"/>
          </w:tcPr>
          <w:p w14:paraId="16C72A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“趣”</w:t>
            </w:r>
          </w:p>
        </w:tc>
        <w:tc>
          <w:tcPr>
            <w:tcW w:w="3190" w:type="dxa"/>
            <w:vAlign w:val="center"/>
          </w:tcPr>
          <w:p w14:paraId="3362D2F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点评</w:t>
            </w:r>
          </w:p>
        </w:tc>
      </w:tr>
      <w:tr w14:paraId="28935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50" w:type="dxa"/>
            <w:vAlign w:val="center"/>
          </w:tcPr>
          <w:p w14:paraId="7728822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行礼</w:t>
            </w:r>
          </w:p>
        </w:tc>
        <w:tc>
          <w:tcPr>
            <w:tcW w:w="2720" w:type="dxa"/>
          </w:tcPr>
          <w:p w14:paraId="2B4F8DF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两次行礼：拜孔子、拜先生:严格的学习规矩。</w:t>
            </w:r>
          </w:p>
        </w:tc>
        <w:tc>
          <w:tcPr>
            <w:tcW w:w="3080" w:type="dxa"/>
          </w:tcPr>
          <w:p w14:paraId="4DE7930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对着扁和鹿行礼、“算是”:对规矩的调侃。</w:t>
            </w:r>
          </w:p>
        </w:tc>
        <w:tc>
          <w:tcPr>
            <w:tcW w:w="3190" w:type="dxa"/>
          </w:tcPr>
          <w:p w14:paraId="3EB9043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三味书屋有严格的学习规矩,但在小鲁迅看来,却像是在做游戏。</w:t>
            </w:r>
          </w:p>
        </w:tc>
      </w:tr>
      <w:tr w14:paraId="31B6D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50" w:type="dxa"/>
            <w:vAlign w:val="center"/>
          </w:tcPr>
          <w:p w14:paraId="21A828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课堂</w:t>
            </w:r>
          </w:p>
        </w:tc>
        <w:tc>
          <w:tcPr>
            <w:tcW w:w="2720" w:type="dxa"/>
          </w:tcPr>
          <w:p w14:paraId="0191DD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“不应该问”“只要读书”“我就只读书”:压抑的学习氛围。</w:t>
            </w:r>
          </w:p>
        </w:tc>
        <w:tc>
          <w:tcPr>
            <w:tcW w:w="3080" w:type="dxa"/>
          </w:tcPr>
          <w:p w14:paraId="044C97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偷跑进书屋后面的园子、“人声鼎沸”地读书、在指甲上做戏、画画儿:天真、可爱的童心。</w:t>
            </w:r>
          </w:p>
        </w:tc>
        <w:tc>
          <w:tcPr>
            <w:tcW w:w="3190" w:type="dxa"/>
          </w:tcPr>
          <w:p w14:paraId="3D9AFC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问“怪哉虫”体现了儿童好奇的天性,三味书屋枯燥的学习内容和学习模式抑制了儿童的好奇心，但天真、可爱的童心是压抑不住的。</w:t>
            </w:r>
          </w:p>
        </w:tc>
      </w:tr>
      <w:tr w14:paraId="4676F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50" w:type="dxa"/>
            <w:vAlign w:val="center"/>
          </w:tcPr>
          <w:p w14:paraId="24EFBA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先生</w:t>
            </w:r>
          </w:p>
        </w:tc>
        <w:tc>
          <w:tcPr>
            <w:tcW w:w="2720" w:type="dxa"/>
          </w:tcPr>
          <w:p w14:paraId="23A6B4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“怒色”“人都到那里去了”:疾言厉色的先生。</w:t>
            </w:r>
          </w:p>
        </w:tc>
        <w:tc>
          <w:tcPr>
            <w:tcW w:w="3080" w:type="dxa"/>
          </w:tcPr>
          <w:p w14:paraId="540E433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“因为读到这里，他总是微笑起来，而且将头仰起，摇着,向后面拗过去,拗过去”:陶醉而可亲的先生。</w:t>
            </w:r>
          </w:p>
        </w:tc>
        <w:tc>
          <w:tcPr>
            <w:tcW w:w="3190" w:type="dxa"/>
          </w:tcPr>
          <w:p w14:paraId="56670A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严厉的先生，并不常用体罚的手段。课堂上,严厉的先生与调皮的儿童都自得其乐。</w:t>
            </w:r>
          </w:p>
        </w:tc>
      </w:tr>
    </w:tbl>
    <w:p w14:paraId="67164D5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616A86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示例1:我认为“三味书屋”的生活是严厉的。繁复的规矩、压抑的学习氛围、古板的老师……这些都和“百草园”自由、纯粹的快乐形成鲜明对比，儿时的“我”对枯燥的学习生活是反感与厌恶的。</w:t>
      </w:r>
    </w:p>
    <w:p w14:paraId="1591858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示例2:我认为“三味书屋”的生活也是充满乐趣的。虽然儿时的“我”经历了艰苦、枯燥的学习过程，但孩童天真、可爱的心灵更赋予这段生活以色彩与欢乐。</w:t>
      </w:r>
    </w:p>
    <w:p w14:paraId="0A2CDA4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3.“三味书屋”的生活与“百草园"的生活有哪些相同和不同?“我”有什么变化?说明了什么?</w:t>
      </w:r>
    </w:p>
    <w:tbl>
      <w:tblPr>
        <w:tblStyle w:val="8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720"/>
        <w:gridCol w:w="2840"/>
        <w:gridCol w:w="2770"/>
      </w:tblGrid>
      <w:tr w14:paraId="6A0CE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10" w:type="dxa"/>
            <w:vAlign w:val="center"/>
          </w:tcPr>
          <w:p w14:paraId="565672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20" w:type="dxa"/>
            <w:vAlign w:val="center"/>
          </w:tcPr>
          <w:p w14:paraId="1C08095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百草园</w:t>
            </w:r>
          </w:p>
        </w:tc>
        <w:tc>
          <w:tcPr>
            <w:tcW w:w="2840" w:type="dxa"/>
            <w:vAlign w:val="center"/>
          </w:tcPr>
          <w:p w14:paraId="56E78F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三味书屋</w:t>
            </w:r>
          </w:p>
        </w:tc>
        <w:tc>
          <w:tcPr>
            <w:tcW w:w="2770" w:type="dxa"/>
            <w:vAlign w:val="center"/>
          </w:tcPr>
          <w:p w14:paraId="28DDE32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“我”的变化</w:t>
            </w:r>
          </w:p>
        </w:tc>
      </w:tr>
      <w:tr w14:paraId="4A421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10" w:type="dxa"/>
            <w:vAlign w:val="center"/>
          </w:tcPr>
          <w:p w14:paraId="69FDFF9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相同点</w:t>
            </w:r>
          </w:p>
        </w:tc>
        <w:tc>
          <w:tcPr>
            <w:tcW w:w="5560" w:type="dxa"/>
            <w:gridSpan w:val="2"/>
          </w:tcPr>
          <w:p w14:paraId="131226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0" w:type="dxa"/>
            <w:vMerge w:val="restart"/>
          </w:tcPr>
          <w:p w14:paraId="517708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834C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10" w:type="dxa"/>
            <w:vAlign w:val="center"/>
          </w:tcPr>
          <w:p w14:paraId="1A614FA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不同点</w:t>
            </w:r>
          </w:p>
        </w:tc>
        <w:tc>
          <w:tcPr>
            <w:tcW w:w="2720" w:type="dxa"/>
          </w:tcPr>
          <w:p w14:paraId="032423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840" w:type="dxa"/>
          </w:tcPr>
          <w:p w14:paraId="328BCC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0" w:type="dxa"/>
            <w:vMerge w:val="continue"/>
          </w:tcPr>
          <w:p w14:paraId="0BD138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136FE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410" w:type="dxa"/>
            <w:vAlign w:val="center"/>
          </w:tcPr>
          <w:p w14:paraId="0BA0657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说明了什么</w:t>
            </w:r>
          </w:p>
        </w:tc>
        <w:tc>
          <w:tcPr>
            <w:tcW w:w="8330" w:type="dxa"/>
            <w:gridSpan w:val="3"/>
          </w:tcPr>
          <w:p w14:paraId="379E75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1C0A3B9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CF0010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tbl>
      <w:tblPr>
        <w:tblStyle w:val="8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720"/>
        <w:gridCol w:w="2840"/>
        <w:gridCol w:w="2770"/>
      </w:tblGrid>
      <w:tr w14:paraId="623E0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10" w:type="dxa"/>
            <w:vAlign w:val="center"/>
          </w:tcPr>
          <w:p w14:paraId="42FE305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20" w:type="dxa"/>
            <w:vAlign w:val="center"/>
          </w:tcPr>
          <w:p w14:paraId="61F273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百草园</w:t>
            </w:r>
          </w:p>
        </w:tc>
        <w:tc>
          <w:tcPr>
            <w:tcW w:w="2840" w:type="dxa"/>
            <w:vAlign w:val="center"/>
          </w:tcPr>
          <w:p w14:paraId="11FA31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三味书屋</w:t>
            </w:r>
          </w:p>
        </w:tc>
        <w:tc>
          <w:tcPr>
            <w:tcW w:w="2770" w:type="dxa"/>
            <w:vAlign w:val="center"/>
          </w:tcPr>
          <w:p w14:paraId="7E7CC0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“我”的变化</w:t>
            </w:r>
          </w:p>
        </w:tc>
      </w:tr>
      <w:tr w14:paraId="56A49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10" w:type="dxa"/>
            <w:vAlign w:val="center"/>
          </w:tcPr>
          <w:p w14:paraId="38B146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相同点</w:t>
            </w:r>
          </w:p>
        </w:tc>
        <w:tc>
          <w:tcPr>
            <w:tcW w:w="5560" w:type="dxa"/>
            <w:gridSpan w:val="2"/>
            <w:vAlign w:val="center"/>
          </w:tcPr>
          <w:p w14:paraId="59AE26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充满趣味，有快乐的童年回忆。</w:t>
            </w:r>
          </w:p>
        </w:tc>
        <w:tc>
          <w:tcPr>
            <w:tcW w:w="2770" w:type="dxa"/>
            <w:vMerge w:val="restart"/>
            <w:vAlign w:val="center"/>
          </w:tcPr>
          <w:p w14:paraId="398841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伴随着成长的过程，逐渐适应有限制的生活。</w:t>
            </w:r>
          </w:p>
        </w:tc>
      </w:tr>
      <w:tr w14:paraId="0FD27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10" w:type="dxa"/>
            <w:vAlign w:val="center"/>
          </w:tcPr>
          <w:p w14:paraId="6ED2F5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不同点</w:t>
            </w:r>
          </w:p>
        </w:tc>
        <w:tc>
          <w:tcPr>
            <w:tcW w:w="2720" w:type="dxa"/>
            <w:vAlign w:val="center"/>
          </w:tcPr>
          <w:p w14:paraId="3BCFB4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无拘无束，随意而充实。</w:t>
            </w:r>
          </w:p>
        </w:tc>
        <w:tc>
          <w:tcPr>
            <w:tcW w:w="2840" w:type="dxa"/>
            <w:vAlign w:val="center"/>
          </w:tcPr>
          <w:p w14:paraId="4DA084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有趣味但也枯燥、有限制。</w:t>
            </w:r>
          </w:p>
        </w:tc>
        <w:tc>
          <w:tcPr>
            <w:tcW w:w="2770" w:type="dxa"/>
            <w:vMerge w:val="continue"/>
            <w:vAlign w:val="center"/>
          </w:tcPr>
          <w:p w14:paraId="35B700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282D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410" w:type="dxa"/>
            <w:vAlign w:val="center"/>
          </w:tcPr>
          <w:p w14:paraId="062364E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说明了什么</w:t>
            </w:r>
          </w:p>
        </w:tc>
        <w:tc>
          <w:tcPr>
            <w:tcW w:w="8330" w:type="dxa"/>
            <w:gridSpan w:val="3"/>
            <w:vAlign w:val="center"/>
          </w:tcPr>
          <w:p w14:paraId="49CF4B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随意而充实的童年生活是宝贵的财富，而生活的种种限制也是成长要付出的代价。</w:t>
            </w:r>
          </w:p>
        </w:tc>
      </w:tr>
    </w:tbl>
    <w:p w14:paraId="196D905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967481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4.“百草园”和“三味书屋”寄寓了鲁迅先生怎样的思想情感呢?</w:t>
      </w:r>
    </w:p>
    <w:p w14:paraId="64AB8D2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4FD347D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示例1:百草园”和“三味书屋”是鲁迅成长的两个精神空间，“百草园”中自由、无虑的成长岁月和“三味书屋”中严厉、枯燥的学习经历形成鲜明对比。作者正是借此表达对孩童纯真、美好天性的赞美,对快乐童年的怀恋。</w:t>
      </w:r>
    </w:p>
    <w:p w14:paraId="7E626E3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示例2:“我”在“百草园”中感受到了自由、纯粹的童年快乐,而在“三味书屋”中体会到压抑、沉重的成长压力。这样的经历让“我”意识到保护孩童天真本性的重要性，也更清楚地认识了封建教育的落后与腐朽。</w:t>
      </w:r>
    </w:p>
    <w:p w14:paraId="7650DCC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示例3:百草园自由快乐的生活与三味书屋枯燥无味的生活作对比，表现了儿童热爱自然的心理，同时表达了对束缚儿童身心发展的封建教育的不满。</w:t>
      </w:r>
    </w:p>
    <w:p w14:paraId="2EFE8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任务五：品读·鉴赏叙事视角之妙</w:t>
      </w:r>
    </w:p>
    <w:p w14:paraId="36B74C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1.文中那个活泼可爱、尽情玩耍的“小”鲁迅宛在眼前,你看到文字后面那个拿笔写作的“大”鲁迅了吗?如果说文章是以“小”鲁迅的视角写“乐”,那么“大”鲁迅的视角又表达了作者怎样的情感?</w:t>
      </w:r>
    </w:p>
    <w:p w14:paraId="6EFCA55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文章开头与结尾分别写了“百草园”被卖以及“三味书屋”里绣像的遗失。作者以“大”鲁迅的视角写“失”，表达对失去童年美好、纯真生活的怅惘,从而表现了成长的甜蜜与苦涩,寄寓着对生活的无限慨叹。</w:t>
      </w:r>
    </w:p>
    <w:p w14:paraId="20837D9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3BBB4C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2.“大”鲁迅只出现在开头和结尾吗?当文章以“小”鲁迅的视角写“乐”时，“大”鲁迅有没有突然冒出来呢?请同学们快速默读课文,边读边寻找“大”鲁迅的影子。</w:t>
      </w:r>
    </w:p>
    <w:p w14:paraId="4BDA790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预设：文章在运用“小”鲁迅视角叙述的过程中，也会穿插进“大”鲁迅的视角。</w:t>
      </w:r>
    </w:p>
    <w:p w14:paraId="1F46F93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比如在回忆“美女蛇”的故事时，作者写道:“他虽然照样办,却总是睡不着，--当然睡不着的。”这里的“当然睡不着的”就是以成年鲁迅的视角写的,这不仅舒缓了叙事节奏,更给文章增添了幽默与乐趣,表达了作者对童年生活的深情回味。</w:t>
      </w:r>
    </w:p>
    <w:p w14:paraId="3FDCF0F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又如文章第9段，“我”告别“百草园”时呼喊出“Ade”这个德语单词,这显然也出自成年鲁迅之口,这样的呼唤将“我”对百草园的无限怀想与留恋表现得淋漓尽致。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157420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p w14:paraId="76465D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p w14:paraId="55219F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4446905" cy="1633855"/>
            <wp:effectExtent l="0" t="0" r="3175" b="1206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46905" cy="163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C74C6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7E42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yNTczN2I2OTk3M2FlMDlhNWU1YTZkYWU3ZWVhYmE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3E010AF"/>
    <w:rsid w:val="04090E4E"/>
    <w:rsid w:val="040F1ED1"/>
    <w:rsid w:val="04521743"/>
    <w:rsid w:val="04A077D4"/>
    <w:rsid w:val="054C4671"/>
    <w:rsid w:val="0603469F"/>
    <w:rsid w:val="060356C3"/>
    <w:rsid w:val="067D5CC6"/>
    <w:rsid w:val="071D0B0C"/>
    <w:rsid w:val="072506FA"/>
    <w:rsid w:val="073D4803"/>
    <w:rsid w:val="07493674"/>
    <w:rsid w:val="07BA14B5"/>
    <w:rsid w:val="08B70410"/>
    <w:rsid w:val="093F51ED"/>
    <w:rsid w:val="094277BC"/>
    <w:rsid w:val="094620D8"/>
    <w:rsid w:val="09A523BE"/>
    <w:rsid w:val="0A334D52"/>
    <w:rsid w:val="0A830C70"/>
    <w:rsid w:val="0AA04FB4"/>
    <w:rsid w:val="0B9D4CB5"/>
    <w:rsid w:val="0BBE35C7"/>
    <w:rsid w:val="0BC42E1C"/>
    <w:rsid w:val="0C451536"/>
    <w:rsid w:val="0CCE5330"/>
    <w:rsid w:val="0D092489"/>
    <w:rsid w:val="0D4252AC"/>
    <w:rsid w:val="0E5A03D3"/>
    <w:rsid w:val="0E5B6625"/>
    <w:rsid w:val="0E674BA2"/>
    <w:rsid w:val="0EE7589A"/>
    <w:rsid w:val="10121687"/>
    <w:rsid w:val="10146D27"/>
    <w:rsid w:val="109B402A"/>
    <w:rsid w:val="11560F71"/>
    <w:rsid w:val="11707185"/>
    <w:rsid w:val="11F77791"/>
    <w:rsid w:val="12521E00"/>
    <w:rsid w:val="126A37FC"/>
    <w:rsid w:val="12CA3D79"/>
    <w:rsid w:val="13A50343"/>
    <w:rsid w:val="14183E89"/>
    <w:rsid w:val="14C64A14"/>
    <w:rsid w:val="15FE38F8"/>
    <w:rsid w:val="160D7128"/>
    <w:rsid w:val="1620367F"/>
    <w:rsid w:val="166271AC"/>
    <w:rsid w:val="16A8314F"/>
    <w:rsid w:val="17AA7BF0"/>
    <w:rsid w:val="17B157DC"/>
    <w:rsid w:val="182368AB"/>
    <w:rsid w:val="199F6E23"/>
    <w:rsid w:val="19A448A5"/>
    <w:rsid w:val="19EF59BA"/>
    <w:rsid w:val="19F207E4"/>
    <w:rsid w:val="1A6709DF"/>
    <w:rsid w:val="1AA67EB7"/>
    <w:rsid w:val="1ACC7774"/>
    <w:rsid w:val="1C947978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4A7721"/>
    <w:rsid w:val="206D72CF"/>
    <w:rsid w:val="21132D8F"/>
    <w:rsid w:val="2191104E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A6683E"/>
    <w:rsid w:val="25B85CB3"/>
    <w:rsid w:val="25FB54E6"/>
    <w:rsid w:val="266E3D58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3025488D"/>
    <w:rsid w:val="30911D76"/>
    <w:rsid w:val="30954103"/>
    <w:rsid w:val="30DA1C73"/>
    <w:rsid w:val="318F4594"/>
    <w:rsid w:val="31FB7DF6"/>
    <w:rsid w:val="324B1359"/>
    <w:rsid w:val="32B97039"/>
    <w:rsid w:val="33D22C2B"/>
    <w:rsid w:val="340B51F1"/>
    <w:rsid w:val="34DB19BE"/>
    <w:rsid w:val="35861145"/>
    <w:rsid w:val="35935C52"/>
    <w:rsid w:val="3625117A"/>
    <w:rsid w:val="36601E54"/>
    <w:rsid w:val="366559E4"/>
    <w:rsid w:val="36CA6D73"/>
    <w:rsid w:val="36FC3286"/>
    <w:rsid w:val="37B65A46"/>
    <w:rsid w:val="37E611F0"/>
    <w:rsid w:val="37F35313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AB036C"/>
    <w:rsid w:val="3CFC5CFD"/>
    <w:rsid w:val="3EAA6689"/>
    <w:rsid w:val="3EB510FB"/>
    <w:rsid w:val="3FC574F3"/>
    <w:rsid w:val="402652C9"/>
    <w:rsid w:val="409243BE"/>
    <w:rsid w:val="409361DE"/>
    <w:rsid w:val="4184316F"/>
    <w:rsid w:val="41FA5FDC"/>
    <w:rsid w:val="421B3E90"/>
    <w:rsid w:val="426E79CE"/>
    <w:rsid w:val="429A28DC"/>
    <w:rsid w:val="42AA1C41"/>
    <w:rsid w:val="42F86FA7"/>
    <w:rsid w:val="433F7E95"/>
    <w:rsid w:val="434661BF"/>
    <w:rsid w:val="43884ABF"/>
    <w:rsid w:val="441260D8"/>
    <w:rsid w:val="44A8366B"/>
    <w:rsid w:val="452E0BB6"/>
    <w:rsid w:val="45E81FF5"/>
    <w:rsid w:val="45EF4D65"/>
    <w:rsid w:val="468038B9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B0752CD"/>
    <w:rsid w:val="4B5E0F27"/>
    <w:rsid w:val="4B8D3156"/>
    <w:rsid w:val="4C105824"/>
    <w:rsid w:val="4E835BA2"/>
    <w:rsid w:val="4F1D1146"/>
    <w:rsid w:val="4F6768F9"/>
    <w:rsid w:val="4FBA24A4"/>
    <w:rsid w:val="4FEE214E"/>
    <w:rsid w:val="4FFE77E4"/>
    <w:rsid w:val="50415697"/>
    <w:rsid w:val="50507BB0"/>
    <w:rsid w:val="508D0E23"/>
    <w:rsid w:val="50AA0EC9"/>
    <w:rsid w:val="50D71373"/>
    <w:rsid w:val="510734C7"/>
    <w:rsid w:val="513A3AA6"/>
    <w:rsid w:val="51891A7C"/>
    <w:rsid w:val="52B82624"/>
    <w:rsid w:val="52CB49C9"/>
    <w:rsid w:val="53B337F3"/>
    <w:rsid w:val="54CC6C29"/>
    <w:rsid w:val="557C43C4"/>
    <w:rsid w:val="562527F8"/>
    <w:rsid w:val="56893B64"/>
    <w:rsid w:val="56D30863"/>
    <w:rsid w:val="56D73207"/>
    <w:rsid w:val="56F740DC"/>
    <w:rsid w:val="578C2978"/>
    <w:rsid w:val="57D84D0F"/>
    <w:rsid w:val="58501BF8"/>
    <w:rsid w:val="58EC0A5F"/>
    <w:rsid w:val="59CA000B"/>
    <w:rsid w:val="5A252481"/>
    <w:rsid w:val="5A9C7376"/>
    <w:rsid w:val="5C4B4CF8"/>
    <w:rsid w:val="5C6760BF"/>
    <w:rsid w:val="5C6B60E0"/>
    <w:rsid w:val="5CA83B98"/>
    <w:rsid w:val="5CF16BE4"/>
    <w:rsid w:val="5E343D6A"/>
    <w:rsid w:val="5E4823F5"/>
    <w:rsid w:val="5E9D4F9B"/>
    <w:rsid w:val="5F1C3E69"/>
    <w:rsid w:val="5FB56B56"/>
    <w:rsid w:val="5FC60AF2"/>
    <w:rsid w:val="602573A9"/>
    <w:rsid w:val="60676BE3"/>
    <w:rsid w:val="60690D23"/>
    <w:rsid w:val="60B30F76"/>
    <w:rsid w:val="615A3CBB"/>
    <w:rsid w:val="61CF56B7"/>
    <w:rsid w:val="632251C4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AF26B3F"/>
    <w:rsid w:val="6C2030C3"/>
    <w:rsid w:val="6C6857D1"/>
    <w:rsid w:val="6CBE6CDC"/>
    <w:rsid w:val="6D325918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F704C1"/>
    <w:rsid w:val="71353360"/>
    <w:rsid w:val="719B3FB2"/>
    <w:rsid w:val="71A069B1"/>
    <w:rsid w:val="71AA0501"/>
    <w:rsid w:val="71AF0B02"/>
    <w:rsid w:val="72813FDB"/>
    <w:rsid w:val="7295497F"/>
    <w:rsid w:val="73135419"/>
    <w:rsid w:val="739531F2"/>
    <w:rsid w:val="73BD6C1A"/>
    <w:rsid w:val="75405343"/>
    <w:rsid w:val="759D7ECF"/>
    <w:rsid w:val="765A01AF"/>
    <w:rsid w:val="76D442CA"/>
    <w:rsid w:val="76EB5674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D187BD8"/>
    <w:rsid w:val="7DB31FA0"/>
    <w:rsid w:val="7DE31DEC"/>
    <w:rsid w:val="7E236C23"/>
    <w:rsid w:val="7E2E12D8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4500</Words>
  <Characters>4640</Characters>
  <Lines>1</Lines>
  <Paragraphs>1</Paragraphs>
  <TotalTime>14</TotalTime>
  <ScaleCrop>false</ScaleCrop>
  <LinksUpToDate>false</LinksUpToDate>
  <CharactersWithSpaces>4814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83196EA2B4094B2B9370C93BA7B660A7_12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