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E0268B">
      <w:pPr>
        <w:widowControl/>
        <w:spacing w:before="340" w:after="330" w:line="360" w:lineRule="auto"/>
        <w:jc w:val="center"/>
        <w:outlineLvl w:val="0"/>
        <w:rPr>
          <w:rFonts w:hint="default" w:ascii="宋体" w:hAnsi="宋体" w:eastAsia="宋体" w:cs="Times New Roman"/>
          <w:b/>
          <w:bCs/>
          <w:kern w:val="44"/>
          <w:sz w:val="28"/>
          <w:szCs w:val="28"/>
          <w:lang w:val="en-US" w:eastAsia="zh-CN"/>
        </w:rPr>
      </w:pPr>
      <w:bookmarkStart w:id="3" w:name="_GoBack"/>
      <w:bookmarkEnd w:id="3"/>
      <w:r>
        <w:rPr>
          <w:rFonts w:hint="eastAsia" w:ascii="宋体" w:hAnsi="宋体" w:eastAsia="宋体" w:cs="Times New Roman"/>
          <w:b/>
          <w:bCs/>
          <w:kern w:val="44"/>
          <w:sz w:val="28"/>
          <w:szCs w:val="28"/>
          <w:lang w:val="en-US" w:eastAsia="zh-CN"/>
        </w:rPr>
        <w:drawing>
          <wp:anchor distT="0" distB="0" distL="114300" distR="114300" simplePos="0" relativeHeight="251659264" behindDoc="0" locked="0" layoutInCell="1" allowOverlap="1">
            <wp:simplePos x="0" y="0"/>
            <wp:positionH relativeFrom="page">
              <wp:posOffset>12382500</wp:posOffset>
            </wp:positionH>
            <wp:positionV relativeFrom="topMargin">
              <wp:posOffset>11836400</wp:posOffset>
            </wp:positionV>
            <wp:extent cx="279400" cy="254000"/>
            <wp:effectExtent l="0" t="0" r="6350" b="1270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10"/>
                    <a:stretch>
                      <a:fillRect/>
                    </a:stretch>
                  </pic:blipFill>
                  <pic:spPr>
                    <a:xfrm>
                      <a:off x="0" y="0"/>
                      <a:ext cx="279400" cy="254000"/>
                    </a:xfrm>
                    <a:prstGeom prst="rect">
                      <a:avLst/>
                    </a:prstGeom>
                  </pic:spPr>
                </pic:pic>
              </a:graphicData>
            </a:graphic>
          </wp:anchor>
        </w:drawing>
      </w:r>
      <w:r>
        <w:rPr>
          <w:rFonts w:hint="eastAsia" w:ascii="宋体" w:hAnsi="宋体" w:eastAsia="宋体" w:cs="Times New Roman"/>
          <w:b/>
          <w:bCs/>
          <w:kern w:val="44"/>
          <w:sz w:val="28"/>
          <w:szCs w:val="28"/>
          <w:lang w:val="en-US" w:eastAsia="zh-CN"/>
        </w:rPr>
        <w:t>《</w:t>
      </w:r>
      <w:r>
        <w:rPr>
          <w:rFonts w:hint="default" w:ascii="宋体" w:hAnsi="宋体" w:eastAsia="宋体" w:cs="Times New Roman"/>
          <w:b/>
          <w:bCs/>
          <w:kern w:val="44"/>
          <w:sz w:val="28"/>
          <w:szCs w:val="28"/>
          <w:lang w:val="en-US"/>
        </w:rPr>
        <w:t>整本书阅读</w:t>
      </w:r>
      <w:r>
        <w:rPr>
          <w:rFonts w:hint="eastAsia" w:ascii="宋体" w:hAnsi="宋体" w:eastAsia="宋体" w:cs="Times New Roman"/>
          <w:b/>
          <w:bCs/>
          <w:kern w:val="44"/>
          <w:sz w:val="28"/>
          <w:szCs w:val="28"/>
          <w:lang w:val="en-US" w:eastAsia="zh-CN"/>
        </w:rPr>
        <w:t>&lt;</w:t>
      </w:r>
      <w:r>
        <w:rPr>
          <w:rFonts w:hint="default" w:ascii="宋体" w:hAnsi="宋体" w:eastAsia="宋体" w:cs="Times New Roman"/>
          <w:b/>
          <w:bCs/>
          <w:kern w:val="44"/>
          <w:sz w:val="28"/>
          <w:szCs w:val="28"/>
          <w:lang w:val="en-US"/>
        </w:rPr>
        <w:t>朝花夕拾</w:t>
      </w:r>
      <w:r>
        <w:rPr>
          <w:rFonts w:hint="eastAsia" w:ascii="宋体" w:hAnsi="宋体" w:eastAsia="宋体" w:cs="Times New Roman"/>
          <w:b/>
          <w:bCs/>
          <w:kern w:val="44"/>
          <w:sz w:val="28"/>
          <w:szCs w:val="28"/>
          <w:lang w:val="en-US" w:eastAsia="zh-CN"/>
        </w:rPr>
        <w:t>&gt;</w:t>
      </w:r>
      <w:r>
        <w:rPr>
          <w:rFonts w:hint="default" w:ascii="宋体" w:hAnsi="宋体" w:eastAsia="宋体" w:cs="Times New Roman"/>
          <w:b/>
          <w:bCs/>
          <w:kern w:val="44"/>
          <w:sz w:val="28"/>
          <w:szCs w:val="28"/>
          <w:lang w:val="en-US"/>
        </w:rPr>
        <w:t>精读、略读、浏览</w:t>
      </w:r>
      <w:r>
        <w:rPr>
          <w:rFonts w:hint="default" w:ascii="宋体" w:hAnsi="宋体" w:eastAsia="宋体" w:cs="Times New Roman"/>
          <w:b/>
          <w:bCs/>
          <w:kern w:val="44"/>
          <w:sz w:val="28"/>
          <w:szCs w:val="28"/>
          <w:lang w:val="en-US"/>
        </w:rPr>
        <w:drawing>
          <wp:anchor distT="0" distB="0" distL="114300" distR="114300" simplePos="0" relativeHeight="251660288" behindDoc="0" locked="0" layoutInCell="1" allowOverlap="1">
            <wp:simplePos x="0" y="0"/>
            <wp:positionH relativeFrom="page">
              <wp:posOffset>11264900</wp:posOffset>
            </wp:positionH>
            <wp:positionV relativeFrom="topMargin">
              <wp:posOffset>12649200</wp:posOffset>
            </wp:positionV>
            <wp:extent cx="355600" cy="495300"/>
            <wp:effectExtent l="0" t="0" r="10160" b="7620"/>
            <wp:wrapNone/>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1"/>
                    <a:stretch>
                      <a:fillRect/>
                    </a:stretch>
                  </pic:blipFill>
                  <pic:spPr>
                    <a:xfrm>
                      <a:off x="0" y="0"/>
                      <a:ext cx="355600" cy="495300"/>
                    </a:xfrm>
                    <a:prstGeom prst="rect">
                      <a:avLst/>
                    </a:prstGeom>
                  </pic:spPr>
                </pic:pic>
              </a:graphicData>
            </a:graphic>
          </wp:anchor>
        </w:drawing>
      </w:r>
      <w:r>
        <w:rPr>
          <w:rFonts w:hint="eastAsia" w:ascii="宋体" w:hAnsi="宋体" w:eastAsia="宋体" w:cs="Times New Roman"/>
          <w:b/>
          <w:bCs/>
          <w:kern w:val="44"/>
          <w:sz w:val="28"/>
          <w:szCs w:val="28"/>
          <w:lang w:val="en-US" w:eastAsia="zh-CN"/>
        </w:rPr>
        <w:t>》教学设计</w:t>
      </w:r>
    </w:p>
    <w:p w14:paraId="3A87C5B7">
      <w:pPr>
        <w:tabs>
          <w:tab w:val="left" w:pos="4320"/>
        </w:tabs>
        <w:snapToGrid w:val="0"/>
        <w:spacing w:line="360" w:lineRule="auto"/>
        <w:jc w:val="left"/>
        <w:rPr>
          <w:rFonts w:ascii="宋体" w:hAnsi="宋体" w:eastAsia="宋体" w:cs="Times New Roman"/>
          <w:b/>
          <w:szCs w:val="21"/>
        </w:rPr>
      </w:pPr>
      <w:bookmarkStart w:id="0" w:name="_Hlk22374094"/>
      <w:r>
        <w:rPr>
          <w:rFonts w:ascii="宋体" w:hAnsi="宋体" w:eastAsia="宋体" w:cs="Times New Roman"/>
          <w:b/>
          <w:szCs w:val="21"/>
        </w:rPr>
        <w:t>【教学目标】</w:t>
      </w:r>
    </w:p>
    <w:p w14:paraId="6C4F1057">
      <w:pPr>
        <w:tabs>
          <w:tab w:val="left" w:pos="4320"/>
        </w:tabs>
        <w:snapToGrid w:val="0"/>
        <w:spacing w:line="360" w:lineRule="auto"/>
        <w:ind w:firstLine="420" w:firstLineChars="200"/>
        <w:rPr>
          <w:rFonts w:hint="eastAsia" w:ascii="宋体" w:hAnsi="宋体" w:eastAsia="宋体" w:cs="Times New Roman"/>
          <w:szCs w:val="21"/>
        </w:rPr>
      </w:pPr>
      <w:bookmarkStart w:id="1" w:name="_Hlk46172034"/>
      <w:r>
        <w:rPr>
          <w:rFonts w:ascii="宋体" w:hAnsi="宋体" w:eastAsia="宋体" w:cs="Times New Roman"/>
          <w:szCs w:val="21"/>
        </w:rPr>
        <w:t>1.</w:t>
      </w:r>
      <w:r>
        <w:rPr>
          <w:rFonts w:hint="eastAsia" w:ascii="宋体" w:hAnsi="宋体" w:eastAsia="宋体" w:cs="Times New Roman"/>
          <w:szCs w:val="21"/>
        </w:rPr>
        <w:t>学习精读、略读、浏览三种阅读方法，并在《朝花夕拾》的阅读中运用。</w:t>
      </w:r>
    </w:p>
    <w:p w14:paraId="41606C38">
      <w:pPr>
        <w:tabs>
          <w:tab w:val="left" w:pos="4320"/>
        </w:tabs>
        <w:snapToGrid w:val="0"/>
        <w:spacing w:line="360" w:lineRule="auto"/>
        <w:ind w:firstLine="420" w:firstLineChars="200"/>
        <w:rPr>
          <w:rFonts w:ascii="宋体" w:hAnsi="宋体" w:eastAsia="宋体" w:cs="Times New Roman"/>
          <w:szCs w:val="21"/>
        </w:rPr>
      </w:pPr>
      <w:r>
        <w:rPr>
          <w:rFonts w:ascii="宋体" w:hAnsi="宋体" w:eastAsia="宋体" w:cs="Times New Roman"/>
          <w:szCs w:val="21"/>
        </w:rPr>
        <w:t>2.</w:t>
      </w:r>
      <w:r>
        <w:rPr>
          <w:rFonts w:hint="eastAsia" w:ascii="宋体" w:hAnsi="宋体" w:eastAsia="宋体" w:cs="Times New Roman"/>
          <w:szCs w:val="21"/>
        </w:rPr>
        <w:t>梳理《朝花夕拾》主要内容及人物形象，明确各篇的主旨情感。</w:t>
      </w:r>
      <w:r>
        <w:rPr>
          <w:rFonts w:ascii="宋体" w:hAnsi="宋体" w:eastAsia="宋体" w:cs="Times New Roman"/>
          <w:szCs w:val="21"/>
        </w:rPr>
        <w:t xml:space="preserve"> </w:t>
      </w:r>
    </w:p>
    <w:p w14:paraId="6EF74CE9">
      <w:pPr>
        <w:tabs>
          <w:tab w:val="left" w:pos="4320"/>
        </w:tabs>
        <w:snapToGrid w:val="0"/>
        <w:spacing w:line="360" w:lineRule="auto"/>
        <w:ind w:firstLine="420" w:firstLineChars="200"/>
        <w:rPr>
          <w:rFonts w:hint="default" w:ascii="宋体" w:hAnsi="宋体" w:eastAsia="宋体" w:cs="Times New Roman"/>
          <w:szCs w:val="21"/>
          <w:lang w:val="en-US" w:eastAsia="zh-CN"/>
        </w:rPr>
      </w:pPr>
      <w:r>
        <w:rPr>
          <w:rFonts w:ascii="宋体" w:hAnsi="宋体" w:eastAsia="宋体" w:cs="Times New Roman"/>
          <w:szCs w:val="21"/>
        </w:rPr>
        <w:t>3.</w:t>
      </w:r>
      <w:r>
        <w:rPr>
          <w:rFonts w:hint="eastAsia" w:ascii="宋体" w:hAnsi="宋体" w:eastAsia="宋体" w:cs="Times New Roman"/>
          <w:szCs w:val="21"/>
        </w:rPr>
        <w:t>了解《朝花夕拾》成书过程，明白作者心路历程</w:t>
      </w:r>
      <w:r>
        <w:rPr>
          <w:rFonts w:hint="eastAsia" w:ascii="宋体" w:hAnsi="宋体" w:eastAsia="宋体" w:cs="Times New Roman"/>
          <w:szCs w:val="21"/>
          <w:lang w:val="en-US" w:eastAsia="zh-CN"/>
        </w:rPr>
        <w:t>。</w:t>
      </w:r>
    </w:p>
    <w:bookmarkEnd w:id="1"/>
    <w:p w14:paraId="2D1AF9A1">
      <w:pPr>
        <w:tabs>
          <w:tab w:val="left" w:pos="4320"/>
        </w:tabs>
        <w:snapToGrid w:val="0"/>
        <w:spacing w:line="360" w:lineRule="auto"/>
        <w:rPr>
          <w:rFonts w:ascii="宋体" w:hAnsi="宋体" w:eastAsia="宋体" w:cs="Times New Roman"/>
          <w:szCs w:val="21"/>
        </w:rPr>
      </w:pPr>
      <w:r>
        <w:rPr>
          <w:rFonts w:ascii="宋体" w:hAnsi="宋体" w:eastAsia="宋体" w:cs="Times New Roman"/>
          <w:b/>
          <w:szCs w:val="21"/>
        </w:rPr>
        <w:t>【</w:t>
      </w:r>
      <w:r>
        <w:rPr>
          <w:rFonts w:hint="eastAsia" w:ascii="宋体" w:hAnsi="宋体" w:eastAsia="宋体" w:cs="Times New Roman"/>
          <w:b/>
          <w:szCs w:val="21"/>
        </w:rPr>
        <w:t>重点难点</w:t>
      </w:r>
      <w:r>
        <w:rPr>
          <w:rFonts w:ascii="宋体" w:hAnsi="宋体" w:eastAsia="宋体" w:cs="Times New Roman"/>
          <w:b/>
          <w:szCs w:val="21"/>
        </w:rPr>
        <w:t>】</w:t>
      </w:r>
    </w:p>
    <w:p w14:paraId="7961A348">
      <w:pPr>
        <w:tabs>
          <w:tab w:val="left" w:pos="4320"/>
        </w:tabs>
        <w:snapToGrid w:val="0"/>
        <w:spacing w:line="360" w:lineRule="auto"/>
        <w:ind w:firstLine="420" w:firstLineChars="200"/>
        <w:rPr>
          <w:rFonts w:hint="eastAsia" w:ascii="宋体" w:hAnsi="宋体" w:eastAsia="宋体" w:cs="Times New Roman"/>
          <w:szCs w:val="21"/>
        </w:rPr>
      </w:pPr>
      <w:bookmarkStart w:id="2" w:name="_Hlk46172042"/>
      <w:r>
        <w:rPr>
          <w:rFonts w:hint="eastAsia" w:ascii="宋体" w:hAnsi="宋体" w:eastAsia="宋体" w:cs="Times New Roman"/>
          <w:szCs w:val="21"/>
        </w:rPr>
        <w:t>1.学习精读、略读、浏览三种阅读方法，并在《朝花夕拾》的阅读中运用。</w:t>
      </w:r>
    </w:p>
    <w:p w14:paraId="13B1284B">
      <w:pPr>
        <w:tabs>
          <w:tab w:val="left" w:pos="4320"/>
        </w:tabs>
        <w:snapToGrid w:val="0"/>
        <w:spacing w:line="360" w:lineRule="auto"/>
        <w:ind w:firstLine="420" w:firstLineChars="200"/>
        <w:rPr>
          <w:rFonts w:ascii="宋体" w:hAnsi="宋体" w:eastAsia="宋体" w:cs="Times New Roman"/>
          <w:szCs w:val="21"/>
        </w:rPr>
      </w:pPr>
      <w:r>
        <w:rPr>
          <w:rFonts w:hint="eastAsia" w:ascii="宋体" w:hAnsi="宋体" w:eastAsia="宋体" w:cs="Times New Roman"/>
          <w:szCs w:val="21"/>
        </w:rPr>
        <w:t>2.梳理《朝花夕拾》主要内容及人物形象，明确各篇的主旨情感。</w:t>
      </w:r>
    </w:p>
    <w:bookmarkEnd w:id="2"/>
    <w:p w14:paraId="59B8E8A2">
      <w:pPr>
        <w:tabs>
          <w:tab w:val="left" w:pos="4320"/>
        </w:tabs>
        <w:snapToGrid w:val="0"/>
        <w:spacing w:line="360" w:lineRule="auto"/>
        <w:rPr>
          <w:rFonts w:ascii="宋体" w:hAnsi="宋体" w:eastAsia="宋体" w:cs="Times New Roman"/>
          <w:szCs w:val="21"/>
        </w:rPr>
      </w:pPr>
      <w:r>
        <w:rPr>
          <w:rFonts w:ascii="宋体" w:hAnsi="宋体" w:eastAsia="宋体" w:cs="Times New Roman"/>
          <w:b/>
          <w:szCs w:val="21"/>
        </w:rPr>
        <w:t>【</w:t>
      </w:r>
      <w:r>
        <w:rPr>
          <w:rFonts w:hint="eastAsia" w:ascii="宋体" w:hAnsi="宋体" w:eastAsia="宋体" w:cs="Times New Roman"/>
          <w:b/>
          <w:szCs w:val="21"/>
          <w:lang w:val="en-US" w:eastAsia="zh-CN"/>
        </w:rPr>
        <w:t>任务群</w:t>
      </w:r>
      <w:r>
        <w:rPr>
          <w:rFonts w:ascii="宋体" w:hAnsi="宋体" w:eastAsia="宋体" w:cs="Times New Roman"/>
          <w:b/>
          <w:szCs w:val="21"/>
        </w:rPr>
        <w:t>】</w:t>
      </w:r>
    </w:p>
    <w:p w14:paraId="7D17B388">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任务一：学·精读略读浏览方法</w:t>
      </w:r>
    </w:p>
    <w:p w14:paraId="3D15F49D">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任务二：探·鲁迅“朝花”何以“夕拾”</w:t>
      </w:r>
    </w:p>
    <w:p w14:paraId="235FA307">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任务三：寻·鲁迅生活的“那些年”</w:t>
      </w:r>
    </w:p>
    <w:p w14:paraId="0A5245A7">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任务四：识·鲁迅笔下的“那些人”</w:t>
      </w:r>
    </w:p>
    <w:p w14:paraId="219A14A3">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任务五：察·鲁迅心中的“那些情”</w:t>
      </w:r>
    </w:p>
    <w:p w14:paraId="0ACEBE58">
      <w:pPr>
        <w:tabs>
          <w:tab w:val="left" w:pos="4320"/>
        </w:tabs>
        <w:snapToGrid w:val="0"/>
        <w:spacing w:line="360" w:lineRule="auto"/>
        <w:jc w:val="left"/>
        <w:rPr>
          <w:rFonts w:ascii="宋体" w:hAnsi="宋体" w:eastAsia="宋体" w:cs="Times New Roman"/>
          <w:b/>
          <w:szCs w:val="21"/>
        </w:rPr>
      </w:pPr>
      <w:r>
        <w:rPr>
          <w:rFonts w:ascii="宋体" w:hAnsi="宋体" w:eastAsia="宋体" w:cs="Times New Roman"/>
          <w:b/>
          <w:szCs w:val="21"/>
        </w:rPr>
        <w:t>【课时安排】</w:t>
      </w:r>
    </w:p>
    <w:p w14:paraId="2F0C3F7F">
      <w:pPr>
        <w:tabs>
          <w:tab w:val="left" w:pos="4320"/>
        </w:tabs>
        <w:snapToGrid w:val="0"/>
        <w:spacing w:line="360" w:lineRule="auto"/>
        <w:ind w:firstLine="420" w:firstLineChars="200"/>
        <w:rPr>
          <w:rFonts w:ascii="宋体" w:hAnsi="宋体" w:eastAsia="宋体" w:cs="Times New Roman"/>
          <w:szCs w:val="21"/>
        </w:rPr>
      </w:pPr>
      <w:r>
        <w:rPr>
          <w:rFonts w:hint="eastAsia" w:ascii="宋体" w:hAnsi="宋体" w:eastAsia="宋体" w:cs="Times New Roman"/>
          <w:szCs w:val="21"/>
          <w:lang w:val="en-US" w:eastAsia="zh-CN"/>
        </w:rPr>
        <w:t>1</w:t>
      </w:r>
      <w:r>
        <w:rPr>
          <w:rFonts w:ascii="宋体" w:hAnsi="宋体" w:eastAsia="宋体" w:cs="Times New Roman"/>
          <w:szCs w:val="21"/>
        </w:rPr>
        <w:t>课时</w:t>
      </w:r>
    </w:p>
    <w:p w14:paraId="6B4A220B">
      <w:pPr>
        <w:tabs>
          <w:tab w:val="left" w:pos="4320"/>
        </w:tabs>
        <w:snapToGrid w:val="0"/>
        <w:spacing w:line="360" w:lineRule="auto"/>
        <w:jc w:val="left"/>
        <w:rPr>
          <w:rFonts w:ascii="宋体" w:hAnsi="宋体" w:eastAsia="宋体" w:cs="Times New Roman"/>
          <w:b/>
          <w:szCs w:val="21"/>
        </w:rPr>
      </w:pPr>
      <w:r>
        <w:rPr>
          <w:rFonts w:ascii="宋体" w:hAnsi="宋体" w:eastAsia="宋体" w:cs="Times New Roman"/>
          <w:b/>
          <w:szCs w:val="21"/>
        </w:rPr>
        <w:t>【教学过程】</w:t>
      </w:r>
    </w:p>
    <w:p w14:paraId="0F7C88BF">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default" w:ascii="宋体" w:hAnsi="宋体" w:eastAsia="宋体" w:cs="宋体"/>
          <w:b/>
          <w:bCs/>
          <w:sz w:val="21"/>
          <w:lang w:val="en-US" w:eastAsia="zh-CN"/>
        </w:rPr>
      </w:pPr>
      <w:r>
        <w:rPr>
          <w:rFonts w:hint="eastAsia" w:ascii="宋体" w:hAnsi="宋体" w:eastAsia="宋体" w:cs="宋体"/>
          <w:b/>
          <w:bCs/>
          <w:sz w:val="21"/>
          <w:lang w:val="en-US" w:eastAsia="zh-CN"/>
        </w:rPr>
        <w:t>一、导入新课</w:t>
      </w:r>
    </w:p>
    <w:p w14:paraId="0B531A5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lang w:val="en-US" w:eastAsia="zh-CN"/>
        </w:rPr>
      </w:pPr>
      <w:r>
        <w:rPr>
          <w:rFonts w:hint="eastAsia" w:ascii="宋体" w:hAnsi="宋体" w:eastAsia="宋体" w:cs="宋体"/>
          <w:sz w:val="21"/>
          <w:lang w:val="en-US" w:eastAsia="zh-CN"/>
        </w:rPr>
        <w:t>在本单元《从百草园到三味书屋》一课的学习中，我们初步了解了《朝花夕拾》和鲁迅，知道了《朝花夕拾》是鲁迅回忆少年、青年时期生活的散文集。那么，这本书到底记载了鲁迅先生怎样的人生历程，回忆了哪些人与事呢？今天让我们一起跟随鲁迅先生走进那些难以忘怀的记忆吧。</w:t>
      </w:r>
    </w:p>
    <w:p w14:paraId="7E081C2F">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sz w:val="21"/>
          <w:lang w:val="en-US" w:eastAsia="zh-CN"/>
        </w:rPr>
      </w:pPr>
      <w:r>
        <w:rPr>
          <w:rFonts w:hint="eastAsia" w:ascii="宋体" w:hAnsi="宋体" w:eastAsia="宋体" w:cs="宋体"/>
          <w:b/>
          <w:bCs/>
          <w:sz w:val="21"/>
          <w:lang w:val="en-US" w:eastAsia="zh-CN"/>
        </w:rPr>
        <w:t>二、教学新课</w:t>
      </w:r>
    </w:p>
    <w:p w14:paraId="0C075A8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黑体" w:hAnsi="黑体" w:eastAsia="黑体" w:cs="黑体"/>
          <w:b w:val="0"/>
          <w:bCs w:val="0"/>
          <w:sz w:val="21"/>
        </w:rPr>
      </w:pPr>
      <w:r>
        <w:rPr>
          <w:rFonts w:hint="eastAsia" w:ascii="黑体" w:hAnsi="黑体" w:eastAsia="黑体" w:cs="黑体"/>
          <w:b w:val="0"/>
          <w:bCs w:val="0"/>
          <w:color w:val="0000FF"/>
          <w:sz w:val="21"/>
        </w:rPr>
        <w:t>任务一：学·精读略读浏览方法</w:t>
      </w:r>
    </w:p>
    <w:p w14:paraId="3741CE73">
      <w:pPr>
        <w:tabs>
          <w:tab w:val="left" w:pos="4320"/>
        </w:tabs>
        <w:snapToGrid w:val="0"/>
        <w:spacing w:line="360" w:lineRule="auto"/>
        <w:ind w:firstLine="420" w:firstLineChars="200"/>
        <w:rPr>
          <w:rFonts w:hint="eastAsia" w:ascii="宋体" w:hAnsi="宋体" w:eastAsia="宋体" w:cs="Times New Roman"/>
          <w:color w:val="000000"/>
          <w:szCs w:val="21"/>
        </w:rPr>
      </w:pPr>
      <w:r>
        <w:rPr>
          <w:rFonts w:hint="eastAsia" w:ascii="宋体" w:hAnsi="宋体" w:eastAsia="宋体" w:cs="Times New Roman"/>
          <w:color w:val="000000"/>
          <w:szCs w:val="21"/>
        </w:rPr>
        <w:t>读一本书，首先要掌握正确的读书方法。根据兴趣或读书目的不同，可以采取精读、略读或浏览的方法。那么，什么是精读、略读、浏览呢？请阅读教材72页“阅读指导”，并完成相应任务。</w:t>
      </w:r>
    </w:p>
    <w:p w14:paraId="1599CE77">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1.什么是精读、略读、浏览？</w:t>
      </w:r>
    </w:p>
    <w:p w14:paraId="0F814E74">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预设：</w:t>
      </w:r>
    </w:p>
    <w:p w14:paraId="3ACB3A9C">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eastAsia" w:ascii="宋体" w:hAnsi="宋体" w:eastAsia="宋体" w:cs="宋体"/>
          <w:color w:val="000000"/>
          <w:szCs w:val="21"/>
          <w:lang w:val="en-US" w:eastAsia="zh-CN"/>
        </w:rPr>
        <w:t>①</w:t>
      </w:r>
      <w:r>
        <w:rPr>
          <w:rFonts w:hint="default" w:ascii="宋体" w:hAnsi="宋体" w:eastAsia="宋体" w:cs="Times New Roman"/>
          <w:color w:val="000000"/>
          <w:szCs w:val="21"/>
          <w:lang w:val="en-US" w:eastAsia="zh-CN"/>
        </w:rPr>
        <w:t>精读指向细腻的感受、透彻的理解和广泛的联想；</w:t>
      </w:r>
    </w:p>
    <w:p w14:paraId="00EA33D3">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eastAsia" w:ascii="宋体" w:hAnsi="宋体" w:eastAsia="宋体" w:cs="宋体"/>
          <w:color w:val="000000"/>
          <w:szCs w:val="21"/>
          <w:lang w:val="en-US" w:eastAsia="zh-CN"/>
        </w:rPr>
        <w:t>②</w:t>
      </w:r>
      <w:r>
        <w:rPr>
          <w:rFonts w:hint="default" w:ascii="宋体" w:hAnsi="宋体" w:eastAsia="宋体" w:cs="Times New Roman"/>
          <w:color w:val="000000"/>
          <w:szCs w:val="21"/>
          <w:lang w:val="en-US" w:eastAsia="zh-CN"/>
        </w:rPr>
        <w:t>略读就是粗略地阅读以粗知大意，观其大略;</w:t>
      </w:r>
    </w:p>
    <w:p w14:paraId="1DC55BB7">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eastAsia" w:ascii="宋体" w:hAnsi="宋体" w:eastAsia="宋体" w:cs="宋体"/>
          <w:color w:val="000000"/>
          <w:szCs w:val="21"/>
          <w:lang w:val="en-US" w:eastAsia="zh-CN"/>
        </w:rPr>
        <w:t>③</w:t>
      </w:r>
      <w:r>
        <w:rPr>
          <w:rFonts w:hint="default" w:ascii="宋体" w:hAnsi="宋体" w:eastAsia="宋体" w:cs="Times New Roman"/>
          <w:color w:val="000000"/>
          <w:szCs w:val="21"/>
          <w:lang w:val="en-US" w:eastAsia="zh-CN"/>
        </w:rPr>
        <w:t>浏览则是快速地扫视、有意地跳读，以抓住关键信息，求得更高的阅读效率。</w:t>
      </w:r>
    </w:p>
    <w:p w14:paraId="0BD190D4">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2.如何做好精读？</w:t>
      </w:r>
    </w:p>
    <w:p w14:paraId="1092811E">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预设：</w:t>
      </w:r>
    </w:p>
    <w:p w14:paraId="64F85CB2">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①细品。即逐字逐句地认真阅读，把书“读”。</w:t>
      </w:r>
    </w:p>
    <w:p w14:paraId="2BAFCB9B">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②精思。即边读边思考，对书中的内容提出疑问或质疑等，把书“读深”。</w:t>
      </w:r>
    </w:p>
    <w:p w14:paraId="5FF06821">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③鉴赏。围绕内容、主题、手法某一方面对作品进行探究，思考书的时代价值与当代意义，把书“读透”。</w:t>
      </w:r>
    </w:p>
    <w:p w14:paraId="72AD400C">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3.略读和浏览，与精读相比有何不同？</w:t>
      </w:r>
    </w:p>
    <w:p w14:paraId="4E28C539">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预设：</w:t>
      </w:r>
    </w:p>
    <w:p w14:paraId="246AD8FC">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略读和浏览都是“检阅式”的阅读，只求多多收益，不求句句确解。略读实际上是我们日常阅读中最常用的方式，速度比较快，可以让我们大致了解一本书的主要内容，在较短时间内增加阅读量。</w:t>
      </w:r>
    </w:p>
    <w:p w14:paraId="59BB6C68">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浏览重在了解全书基本面貌，以便迅速找到所需的内容，因此可以先阅读书的各个部件，如序言、目录、后记等，对全书的创作背景、内容主题有大致的把握;然后快速翻阅全书，可以略过与阅读目的无关、自己不感兴趣或觉得不好理解的内容，以最快的速度完成阅读。</w:t>
      </w:r>
    </w:p>
    <w:p w14:paraId="7A2D51C5">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4.阅读《朝花夕拾》这本书，可以怎样运用精读、略读、浏览这三种读书方法？</w:t>
      </w:r>
    </w:p>
    <w:p w14:paraId="5B767FBA">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预设：</w:t>
      </w:r>
    </w:p>
    <w:p w14:paraId="76C7B463">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阅读《朝花夕拾》，可以先浏览目录、小引和后记，了解本书的创作背景、鲁迅的创作初衷，再挑选自己感兴趣的篇目精读，略读其他篇目。</w:t>
      </w:r>
    </w:p>
    <w:p w14:paraId="0AE5DDB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黑体" w:hAnsi="黑体" w:eastAsia="黑体" w:cs="黑体"/>
          <w:b w:val="0"/>
          <w:bCs w:val="0"/>
          <w:color w:val="0000FF"/>
          <w:sz w:val="21"/>
          <w:lang w:val="en-US" w:eastAsia="zh-CN"/>
        </w:rPr>
      </w:pPr>
      <w:r>
        <w:rPr>
          <w:rFonts w:hint="eastAsia" w:ascii="黑体" w:hAnsi="黑体" w:eastAsia="黑体" w:cs="黑体"/>
          <w:b w:val="0"/>
          <w:bCs w:val="0"/>
          <w:color w:val="0000FF"/>
          <w:sz w:val="21"/>
          <w:lang w:val="en-US" w:eastAsia="zh-CN"/>
        </w:rPr>
        <w:t>任务二：探·鲁迅“朝花”何以“夕拾”</w:t>
      </w:r>
    </w:p>
    <w:p w14:paraId="3F043D50">
      <w:pPr>
        <w:tabs>
          <w:tab w:val="left" w:pos="4320"/>
        </w:tabs>
        <w:snapToGrid w:val="0"/>
        <w:spacing w:line="360" w:lineRule="auto"/>
        <w:ind w:firstLine="420" w:firstLineChars="200"/>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1926年，鲁迅先后撰写了十篇回忆性散文，并以《旧事重提》为总题目陆续发表于《莽原》半月刊上。1928年结集出版，更名为《朝花夕拾》。“朝花”何以“夕拾”呢？我们进行探究。</w:t>
      </w:r>
    </w:p>
    <w:p w14:paraId="6B560C5E">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1.《旧事重提》更名为《朝花夕拾》其实隐藏着在儿童视角下的写作意图。请同学们结合下列背景，读《小引》补全作者写作《朝花夕拾》的经过。</w:t>
      </w:r>
    </w:p>
    <w:p w14:paraId="418B13C1">
      <w:pPr>
        <w:tabs>
          <w:tab w:val="left" w:pos="4320"/>
        </w:tabs>
        <w:snapToGrid w:val="0"/>
        <w:spacing w:line="360" w:lineRule="auto"/>
        <w:ind w:firstLine="420" w:firstLineChars="200"/>
        <w:rPr>
          <w:rFonts w:hint="eastAsia" w:ascii="楷体" w:hAnsi="楷体" w:eastAsia="楷体" w:cs="楷体"/>
          <w:color w:val="000000"/>
          <w:szCs w:val="21"/>
          <w:u w:val="single"/>
          <w:lang w:val="en-US" w:eastAsia="zh-CN"/>
        </w:rPr>
      </w:pPr>
      <w:r>
        <w:rPr>
          <w:rFonts w:hint="eastAsia" w:ascii="楷体" w:hAnsi="楷体" w:eastAsia="楷体" w:cs="楷体"/>
          <w:color w:val="000000"/>
          <w:szCs w:val="21"/>
          <w:lang w:val="en-US" w:eastAsia="zh-CN"/>
        </w:rPr>
        <w:t>1925年,鲁迅在北京担任大学讲师期间,因支持学生运动而受到当时所谓“正人君子”的流言攻击和排挤。1926年,北洋军阀政府枪杀进步学生,制造“三·一八”惨案。鲁迅写下《记念刘和珍君》等一系列文章,热情支持学生的正义斗争,控诉北洋军阀政府的残暴,结果遭到当局的通缉而不得不远走厦门避难。之后,鲁迅奔走广州,他在《小引》中是这样描述自己写作《朝花夕拾》的经过的:</w:t>
      </w:r>
      <w:r>
        <w:rPr>
          <w:rFonts w:hint="eastAsia" w:ascii="楷体" w:hAnsi="楷体" w:eastAsia="楷体" w:cs="楷体"/>
          <w:color w:val="000000"/>
          <w:szCs w:val="21"/>
          <w:u w:val="single"/>
          <w:lang w:val="en-US" w:eastAsia="zh-CN"/>
        </w:rPr>
        <w:t xml:space="preserve">                           </w:t>
      </w:r>
    </w:p>
    <w:p w14:paraId="4A72646E">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0" w:firstLineChars="0"/>
        <w:textAlignment w:val="auto"/>
        <w:rPr>
          <w:rFonts w:hint="eastAsia" w:ascii="楷体" w:hAnsi="楷体" w:eastAsia="楷体" w:cs="楷体"/>
          <w:color w:val="000000"/>
          <w:szCs w:val="21"/>
          <w:u w:val="single"/>
          <w:lang w:val="en-US" w:eastAsia="zh-CN"/>
        </w:rPr>
      </w:pPr>
      <w:r>
        <w:rPr>
          <w:rFonts w:hint="eastAsia" w:ascii="楷体" w:hAnsi="楷体" w:eastAsia="楷体" w:cs="楷体"/>
          <w:color w:val="000000"/>
          <w:szCs w:val="21"/>
          <w:u w:val="single"/>
          <w:lang w:val="en-US" w:eastAsia="zh-CN"/>
        </w:rPr>
        <w:t xml:space="preserve">                                                                                             </w:t>
      </w:r>
    </w:p>
    <w:p w14:paraId="7F9035F3">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0" w:firstLineChars="0"/>
        <w:textAlignment w:val="auto"/>
        <w:rPr>
          <w:rFonts w:hint="default" w:ascii="楷体" w:hAnsi="楷体" w:eastAsia="楷体" w:cs="楷体"/>
          <w:color w:val="000000"/>
          <w:szCs w:val="21"/>
          <w:u w:val="single"/>
          <w:lang w:val="en-US" w:eastAsia="zh-CN"/>
        </w:rPr>
      </w:pPr>
      <w:r>
        <w:rPr>
          <w:rFonts w:hint="eastAsia" w:ascii="楷体" w:hAnsi="楷体" w:eastAsia="楷体" w:cs="楷体"/>
          <w:color w:val="000000"/>
          <w:szCs w:val="21"/>
          <w:u w:val="single"/>
          <w:lang w:val="en-US" w:eastAsia="zh-CN"/>
        </w:rPr>
        <w:t xml:space="preserve">                                                                                             </w:t>
      </w:r>
    </w:p>
    <w:p w14:paraId="3B88A617">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预设：</w:t>
      </w:r>
    </w:p>
    <w:p w14:paraId="5B8F7E1A">
      <w:pPr>
        <w:tabs>
          <w:tab w:val="left" w:pos="4320"/>
        </w:tabs>
        <w:snapToGrid w:val="0"/>
        <w:spacing w:line="360" w:lineRule="auto"/>
        <w:ind w:firstLine="420" w:firstLineChars="200"/>
        <w:rPr>
          <w:rFonts w:hint="default" w:ascii="宋体" w:hAnsi="宋体" w:eastAsia="宋体" w:cs="宋体"/>
          <w:color w:val="000000"/>
          <w:szCs w:val="21"/>
          <w:lang w:val="en-US" w:eastAsia="zh-CN"/>
        </w:rPr>
      </w:pPr>
      <w:r>
        <w:rPr>
          <w:rFonts w:hint="default" w:ascii="宋体" w:hAnsi="宋体" w:eastAsia="宋体" w:cs="宋体"/>
          <w:color w:val="000000"/>
          <w:szCs w:val="21"/>
          <w:lang w:val="en-US" w:eastAsia="zh-CN"/>
        </w:rPr>
        <w:t>前两篇写于北京寓所的东壁下;中三篇是流离中所作,地方是医院和木匠房;后五篇写于厦门大学的图书馆的楼上,已经是被学者们挤出集团之后了。</w:t>
      </w:r>
    </w:p>
    <w:p w14:paraId="6DFFDD48">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2.结合你对写作背景的认识，说一说鲁迅为何要“夕拾”“朝花”，重提这些旧事。</w:t>
      </w:r>
    </w:p>
    <w:p w14:paraId="4836E92D">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预设：</w:t>
      </w:r>
    </w:p>
    <w:p w14:paraId="3D8E263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小引》中“旧事重提”这个题目提示着这本散文集中的回忆色彩,我们很自然地被鲁迅先生带入了一个童年世界。在童年世界里,我们仿佛也找到了自己的影子,和小樟寿一起快乐地玩耍,一起感受学业的压力,一起体会生活中的惊喜,一起品尝成长的滋味……然而鲁迅先生的不凡之处在于,在孩子的眼睛里,还看见了封建礼教尤其是落后的教育观念对孩子的影响,这与他“救救孩子”的呼声是相似的,还听见了鲁迅先生对黑暗现实的嘲讽:庸医误人、世俗谄媚、人世凉薄……都说孩子的声音是最纯真的,那么儿童视角下的语言就是最真实、最有力的。“朝花”以“夕拾”的方式来呈现,既是“带露折花”,也是关注时事的。</w:t>
      </w:r>
    </w:p>
    <w:p w14:paraId="7B36C05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3.《朝花夕拾》一共收录十篇散文，有的侧重写人，有的侧重记事，有的侧重议论或记事兼议论，你能把这十篇文章分一下类吗？</w:t>
      </w:r>
    </w:p>
    <w:p w14:paraId="1496D36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预设：</w:t>
      </w:r>
    </w:p>
    <w:p w14:paraId="4A75A89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szCs w:val="21"/>
          <w:lang w:val="en-US" w:eastAsia="zh-CN"/>
        </w:rPr>
      </w:pPr>
      <w:r>
        <w:drawing>
          <wp:inline distT="0" distB="0" distL="114300" distR="114300">
            <wp:extent cx="4142105" cy="1876425"/>
            <wp:effectExtent l="0" t="0" r="3175" b="1333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2"/>
                    <a:stretch>
                      <a:fillRect/>
                    </a:stretch>
                  </pic:blipFill>
                  <pic:spPr>
                    <a:xfrm>
                      <a:off x="0" y="0"/>
                      <a:ext cx="4142105" cy="1876425"/>
                    </a:xfrm>
                    <a:prstGeom prst="rect">
                      <a:avLst/>
                    </a:prstGeom>
                    <a:noFill/>
                    <a:ln>
                      <a:noFill/>
                    </a:ln>
                  </pic:spPr>
                </pic:pic>
              </a:graphicData>
            </a:graphic>
          </wp:inline>
        </w:drawing>
      </w:r>
    </w:p>
    <w:p w14:paraId="2011E2D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附：《朝花夕拾》十篇主要内容梳理表</w:t>
      </w:r>
    </w:p>
    <w:tbl>
      <w:tblPr>
        <w:tblStyle w:val="8"/>
        <w:tblW w:w="0" w:type="auto"/>
        <w:tblInd w:w="5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3"/>
        <w:gridCol w:w="83"/>
        <w:gridCol w:w="1521"/>
        <w:gridCol w:w="81"/>
        <w:gridCol w:w="3879"/>
        <w:gridCol w:w="73"/>
        <w:gridCol w:w="2138"/>
      </w:tblGrid>
      <w:tr w14:paraId="78540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9378" w:type="dxa"/>
            <w:gridSpan w:val="7"/>
            <w:vAlign w:val="center"/>
          </w:tcPr>
          <w:p w14:paraId="0734E9C0">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第一类：侧重写人</w:t>
            </w:r>
          </w:p>
          <w:p w14:paraId="63E22E7A">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——主要挖掘普通人身上朴实、善良等美好品质，流露出作者的真挚感情。</w:t>
            </w:r>
          </w:p>
        </w:tc>
      </w:tr>
      <w:tr w14:paraId="11455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603" w:type="dxa"/>
            <w:vAlign w:val="center"/>
          </w:tcPr>
          <w:p w14:paraId="1D59A6D0">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篇目</w:t>
            </w:r>
          </w:p>
        </w:tc>
        <w:tc>
          <w:tcPr>
            <w:tcW w:w="1604" w:type="dxa"/>
            <w:gridSpan w:val="2"/>
            <w:vAlign w:val="center"/>
          </w:tcPr>
          <w:p w14:paraId="03E386D3">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辨识关键词</w:t>
            </w:r>
          </w:p>
        </w:tc>
        <w:tc>
          <w:tcPr>
            <w:tcW w:w="3960" w:type="dxa"/>
            <w:gridSpan w:val="2"/>
            <w:vAlign w:val="center"/>
          </w:tcPr>
          <w:p w14:paraId="5AE6E885">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内容简介</w:t>
            </w:r>
          </w:p>
        </w:tc>
        <w:tc>
          <w:tcPr>
            <w:tcW w:w="2211" w:type="dxa"/>
            <w:gridSpan w:val="2"/>
            <w:vAlign w:val="center"/>
          </w:tcPr>
          <w:p w14:paraId="22CDBE64">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主旨情感</w:t>
            </w:r>
          </w:p>
        </w:tc>
      </w:tr>
      <w:tr w14:paraId="0D315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603" w:type="dxa"/>
            <w:vAlign w:val="center"/>
          </w:tcPr>
          <w:p w14:paraId="3D3E079A">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《阿长与&lt;山海经&gt;》</w:t>
            </w:r>
          </w:p>
        </w:tc>
        <w:tc>
          <w:tcPr>
            <w:tcW w:w="1604" w:type="dxa"/>
            <w:gridSpan w:val="2"/>
            <w:vAlign w:val="center"/>
          </w:tcPr>
          <w:p w14:paraId="35193413">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长妈妈、福橘、长毛、“三哼经”</w:t>
            </w:r>
          </w:p>
        </w:tc>
        <w:tc>
          <w:tcPr>
            <w:tcW w:w="3960" w:type="dxa"/>
            <w:gridSpan w:val="2"/>
            <w:vAlign w:val="center"/>
          </w:tcPr>
          <w:p w14:paraId="060BEF77">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通过记叙儿时“我”与保姆长妈妈相处时的几件事，着重描写“我”对长妈妈的感情变化，刻画了一位迷信、唠叨、“满肚子是麻烦的礼节”，但纯朴善良的旧中国劳动妇女形象。</w:t>
            </w:r>
          </w:p>
        </w:tc>
        <w:tc>
          <w:tcPr>
            <w:tcW w:w="2211" w:type="dxa"/>
            <w:gridSpan w:val="2"/>
            <w:vAlign w:val="center"/>
          </w:tcPr>
          <w:p w14:paraId="6D9F134F">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表达了“我”对长妈妈的尊敬、感激、怀念和祝愿之情。</w:t>
            </w:r>
          </w:p>
        </w:tc>
      </w:tr>
      <w:tr w14:paraId="34BB0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603" w:type="dxa"/>
            <w:vAlign w:val="center"/>
          </w:tcPr>
          <w:p w14:paraId="20F5CED9">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《藤野先生》</w:t>
            </w:r>
          </w:p>
        </w:tc>
        <w:tc>
          <w:tcPr>
            <w:tcW w:w="1604" w:type="dxa"/>
            <w:gridSpan w:val="2"/>
            <w:vAlign w:val="center"/>
          </w:tcPr>
          <w:p w14:paraId="50C7AAF2">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东京、樱花、仙台、“胶菜”、讲义、解剖、裹脚</w:t>
            </w:r>
          </w:p>
        </w:tc>
        <w:tc>
          <w:tcPr>
            <w:tcW w:w="3960" w:type="dxa"/>
            <w:gridSpan w:val="2"/>
            <w:vAlign w:val="center"/>
          </w:tcPr>
          <w:p w14:paraId="0B3B1401">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文章回忆了“我”在日本留学时期的学习生活，叙述了在仙台学医时老师藤野先生对“我”的教诲，并记述了自己受日本学生的歧视、侮辱而决定弃医从文的经过。</w:t>
            </w:r>
          </w:p>
        </w:tc>
        <w:tc>
          <w:tcPr>
            <w:tcW w:w="2211" w:type="dxa"/>
            <w:gridSpan w:val="2"/>
            <w:vAlign w:val="center"/>
          </w:tcPr>
          <w:p w14:paraId="69508939">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文章突出表现了藤野先生严谨、正直、热忱、没有民族偏见的高尚品格，表达了作者对藤野先生深切的怀念。</w:t>
            </w:r>
          </w:p>
        </w:tc>
      </w:tr>
      <w:tr w14:paraId="75848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603" w:type="dxa"/>
            <w:vAlign w:val="center"/>
          </w:tcPr>
          <w:p w14:paraId="164202BA">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《范爱农》</w:t>
            </w:r>
          </w:p>
        </w:tc>
        <w:tc>
          <w:tcPr>
            <w:tcW w:w="1604" w:type="dxa"/>
            <w:gridSpan w:val="2"/>
            <w:vAlign w:val="center"/>
          </w:tcPr>
          <w:p w14:paraId="4D772DD0">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范爱农、电报、光复、报馆案</w:t>
            </w:r>
          </w:p>
        </w:tc>
        <w:tc>
          <w:tcPr>
            <w:tcW w:w="3960" w:type="dxa"/>
            <w:gridSpan w:val="2"/>
            <w:vAlign w:val="center"/>
          </w:tcPr>
          <w:p w14:paraId="1DC65F4C">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在日本留学时，“我”与范爱农在同乡会上为要不要发电报痛斥清政府残忍杀害徐锡麟一事而发生争执，“我”认为他“很可恶”。到革命的前一年，“我”在故乡做教员时又遇到范爱农，两人冰释前嫌，谈起各自的经历,并回忆了在东京产生误会的根源。武昌起义绍兴光复之后，“我”做了师范学校校长，他做监学。他办事，兼教书，实在勤快得可以。在报馆案风波中，范爱农追求革命却备受打击迫害，监学的工作也被设法去掉了。他又成了革命前的爱农，什么事也没得做。后来，几个新的朋友约他坐船去看戏，他却因酒醉落水淹死，“我”疑心他是自杀。</w:t>
            </w:r>
          </w:p>
        </w:tc>
        <w:tc>
          <w:tcPr>
            <w:tcW w:w="2211" w:type="dxa"/>
            <w:gridSpan w:val="2"/>
            <w:vAlign w:val="center"/>
          </w:tcPr>
          <w:p w14:paraId="43CEB56F">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文章表达了对旧民主主义革命的失望和对这位正直、倔强的爱国者的同情与悼念，揭露了封建社会对正直的爱国知识分子的摧残。</w:t>
            </w:r>
          </w:p>
          <w:p w14:paraId="4F342490">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r>
      <w:tr w14:paraId="23389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9378" w:type="dxa"/>
            <w:gridSpan w:val="7"/>
            <w:vAlign w:val="center"/>
          </w:tcPr>
          <w:p w14:paraId="50F0959E">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第二类：侧重记事</w:t>
            </w:r>
          </w:p>
          <w:p w14:paraId="3115BE48">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——记叙童年、少年时期的生活经历，表达对旧日美好生活的眷恋，也有对旧礼制的批判。</w:t>
            </w:r>
          </w:p>
        </w:tc>
      </w:tr>
      <w:tr w14:paraId="655E4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603" w:type="dxa"/>
            <w:vAlign w:val="center"/>
          </w:tcPr>
          <w:p w14:paraId="7606D082">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篇目</w:t>
            </w:r>
          </w:p>
        </w:tc>
        <w:tc>
          <w:tcPr>
            <w:tcW w:w="1604" w:type="dxa"/>
            <w:gridSpan w:val="2"/>
            <w:vAlign w:val="center"/>
          </w:tcPr>
          <w:p w14:paraId="6DB8A747">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辨识关键词</w:t>
            </w:r>
          </w:p>
        </w:tc>
        <w:tc>
          <w:tcPr>
            <w:tcW w:w="3960" w:type="dxa"/>
            <w:gridSpan w:val="2"/>
            <w:vAlign w:val="center"/>
          </w:tcPr>
          <w:p w14:paraId="66682089">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内容简介</w:t>
            </w:r>
          </w:p>
        </w:tc>
        <w:tc>
          <w:tcPr>
            <w:tcW w:w="2211" w:type="dxa"/>
            <w:gridSpan w:val="2"/>
            <w:vAlign w:val="center"/>
          </w:tcPr>
          <w:p w14:paraId="26AC69D1">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主旨情感</w:t>
            </w:r>
          </w:p>
        </w:tc>
      </w:tr>
      <w:tr w14:paraId="5C7DA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603" w:type="dxa"/>
            <w:vAlign w:val="center"/>
          </w:tcPr>
          <w:p w14:paraId="2376FE7B">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《从百草园到三味书屋》</w:t>
            </w:r>
          </w:p>
        </w:tc>
        <w:tc>
          <w:tcPr>
            <w:tcW w:w="1604" w:type="dxa"/>
            <w:gridSpan w:val="2"/>
            <w:vAlign w:val="center"/>
          </w:tcPr>
          <w:p w14:paraId="6C9E1C09">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何首乌、赤练蛇、“美女蛇”、“张飞鸟”、捕鸟、画画</w:t>
            </w:r>
          </w:p>
        </w:tc>
        <w:tc>
          <w:tcPr>
            <w:tcW w:w="3960" w:type="dxa"/>
            <w:gridSpan w:val="2"/>
            <w:vAlign w:val="center"/>
          </w:tcPr>
          <w:p w14:paraId="48DA4CCE">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文章由两部分构成：“百草园中的游戏玩乐”和“三味书屋中的读书学习”。两部分内容前后连接。展现了一个儿童的成长过程。前半部分写“我”在百草园里的生活。回忆了百草园的景物、长妈妈讲的美女蛇的故事、“我”跟闰土父亲学捕鸟，乐趣无穷；后半部分选取行礼拜师、问“怪哉”虫、大声读书三个片段来写三味书屋的读书生活，枯燥乏味中却充满乐趣。</w:t>
            </w:r>
          </w:p>
        </w:tc>
        <w:tc>
          <w:tcPr>
            <w:tcW w:w="2211" w:type="dxa"/>
            <w:gridSpan w:val="2"/>
            <w:vAlign w:val="center"/>
          </w:tcPr>
          <w:p w14:paraId="60B16758">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揭示了儿童广泛的生活趣味与束缚儿童天性的封建私塾教育之间的尖锐矛盾。表达了应让儿童健康活泼成长的诉求。</w:t>
            </w:r>
          </w:p>
        </w:tc>
      </w:tr>
      <w:tr w14:paraId="2CC88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603" w:type="dxa"/>
            <w:vAlign w:val="center"/>
          </w:tcPr>
          <w:p w14:paraId="2544F21C">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《琐记》</w:t>
            </w:r>
          </w:p>
        </w:tc>
        <w:tc>
          <w:tcPr>
            <w:tcW w:w="1604" w:type="dxa"/>
            <w:gridSpan w:val="2"/>
            <w:vAlign w:val="center"/>
          </w:tcPr>
          <w:p w14:paraId="42E22AEF">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衍太太、吃冰、《天演论》、《时务报》、中国袜</w:t>
            </w:r>
          </w:p>
          <w:p w14:paraId="381F1387">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c>
          <w:tcPr>
            <w:tcW w:w="3960" w:type="dxa"/>
            <w:gridSpan w:val="2"/>
            <w:vAlign w:val="center"/>
          </w:tcPr>
          <w:p w14:paraId="1351F622">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作品开始回忆了“我”和衍太太相处的几件事（吃冰、打旋子、偷母亲珠宝），后面讲述了“我”为寻找“别一类人们”离开绍兴去南京求学，描述了当时江南水师学堂和矿务铁路学堂的种种弊端以及求知的艰难，批评了洋务派办学的“乌烟瘴气”。</w:t>
            </w:r>
          </w:p>
        </w:tc>
        <w:tc>
          <w:tcPr>
            <w:tcW w:w="2211" w:type="dxa"/>
            <w:gridSpan w:val="2"/>
            <w:vAlign w:val="center"/>
          </w:tcPr>
          <w:p w14:paraId="49A69128">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歌颂了“不满现状”的青年革命，表现出探求真理的强烈欲望。</w:t>
            </w:r>
          </w:p>
        </w:tc>
      </w:tr>
      <w:tr w14:paraId="683ED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603" w:type="dxa"/>
            <w:vAlign w:val="center"/>
          </w:tcPr>
          <w:p w14:paraId="2CB6066E">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《无常》</w:t>
            </w:r>
          </w:p>
        </w:tc>
        <w:tc>
          <w:tcPr>
            <w:tcW w:w="1604" w:type="dxa"/>
            <w:gridSpan w:val="2"/>
            <w:vAlign w:val="center"/>
          </w:tcPr>
          <w:p w14:paraId="19B70914">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《玉历钞传》、迎神赛会、活无常、城隍庙、东岳庙、“阴司间”、吊死鬼、科场鬼</w:t>
            </w:r>
          </w:p>
        </w:tc>
        <w:tc>
          <w:tcPr>
            <w:tcW w:w="3960" w:type="dxa"/>
            <w:gridSpan w:val="2"/>
            <w:vAlign w:val="center"/>
          </w:tcPr>
          <w:p w14:paraId="0D0881FC">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描述了“我”儿时在乡间迎神赛会和戏剧舞台上所见的“无常”形象，这个“鬼而人，理而情”、爽直而公正的形象受到民众的喜爱，是因为人间没有公正，恶人得不到恶报，而公正的裁判是在阴间。</w:t>
            </w:r>
          </w:p>
        </w:tc>
        <w:tc>
          <w:tcPr>
            <w:tcW w:w="2211" w:type="dxa"/>
            <w:gridSpan w:val="2"/>
            <w:vAlign w:val="center"/>
          </w:tcPr>
          <w:p w14:paraId="00E425B2">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用阴间讽刺人间，在夹叙夹议中对打着“公理”“正义”旗号的“正人君子”予以辛辣的讽刺。</w:t>
            </w:r>
          </w:p>
        </w:tc>
      </w:tr>
      <w:tr w14:paraId="47282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603" w:type="dxa"/>
            <w:vAlign w:val="center"/>
          </w:tcPr>
          <w:p w14:paraId="7931D24C">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《五猖会》</w:t>
            </w:r>
          </w:p>
        </w:tc>
        <w:tc>
          <w:tcPr>
            <w:tcW w:w="1604" w:type="dxa"/>
            <w:gridSpan w:val="2"/>
            <w:vAlign w:val="center"/>
          </w:tcPr>
          <w:p w14:paraId="72152C1B">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迎神赛会、《陶庵梦忆》《鉴略》</w:t>
            </w:r>
          </w:p>
        </w:tc>
        <w:tc>
          <w:tcPr>
            <w:tcW w:w="3960" w:type="dxa"/>
            <w:gridSpan w:val="2"/>
            <w:vAlign w:val="center"/>
          </w:tcPr>
          <w:p w14:paraId="620F9486">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记叙儿时要去看五猖会，想到难逢如此盛大的庙会，“我”笑着跳着，兴奋得不得了。出发前，父亲却命令“我”背书（《鉴略》）：“给我读熟。 背不出，就不准去看会。”一盆冷水把“我”的兴致全浇灭了。待“我”读熟，在父亲面前“梦似的”背完，对去“看会”，已觉索然无味了。</w:t>
            </w:r>
          </w:p>
        </w:tc>
        <w:tc>
          <w:tcPr>
            <w:tcW w:w="2211" w:type="dxa"/>
            <w:gridSpan w:val="2"/>
            <w:vAlign w:val="center"/>
          </w:tcPr>
          <w:p w14:paraId="16729712">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文章批判了强制的封建教育对儿童天性的压制和摧残。</w:t>
            </w:r>
          </w:p>
        </w:tc>
      </w:tr>
      <w:tr w14:paraId="0296C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9378" w:type="dxa"/>
            <w:gridSpan w:val="7"/>
            <w:vAlign w:val="center"/>
          </w:tcPr>
          <w:p w14:paraId="72431381">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第三类：记事兼议论</w:t>
            </w:r>
          </w:p>
          <w:p w14:paraId="39581F31">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——夹叙夹议中，穿插童年的生活经历，讽刺和批判旧社会与旧道德。</w:t>
            </w:r>
          </w:p>
        </w:tc>
      </w:tr>
      <w:tr w14:paraId="2A94A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686" w:type="dxa"/>
            <w:gridSpan w:val="2"/>
            <w:vAlign w:val="center"/>
          </w:tcPr>
          <w:p w14:paraId="3D9FA74D">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篇目</w:t>
            </w:r>
          </w:p>
        </w:tc>
        <w:tc>
          <w:tcPr>
            <w:tcW w:w="1602" w:type="dxa"/>
            <w:gridSpan w:val="2"/>
            <w:vAlign w:val="center"/>
          </w:tcPr>
          <w:p w14:paraId="140040CA">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辨识关键词</w:t>
            </w:r>
          </w:p>
        </w:tc>
        <w:tc>
          <w:tcPr>
            <w:tcW w:w="3952" w:type="dxa"/>
            <w:gridSpan w:val="2"/>
            <w:vAlign w:val="center"/>
          </w:tcPr>
          <w:p w14:paraId="6AF3CD92">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内容简介</w:t>
            </w:r>
          </w:p>
        </w:tc>
        <w:tc>
          <w:tcPr>
            <w:tcW w:w="2138" w:type="dxa"/>
            <w:vAlign w:val="center"/>
          </w:tcPr>
          <w:p w14:paraId="7251DABC">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主旨情感</w:t>
            </w:r>
          </w:p>
        </w:tc>
      </w:tr>
      <w:tr w14:paraId="29D8E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686" w:type="dxa"/>
            <w:gridSpan w:val="2"/>
            <w:vAlign w:val="center"/>
          </w:tcPr>
          <w:p w14:paraId="7B5EBECF">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《狗·猫·鼠》</w:t>
            </w:r>
          </w:p>
        </w:tc>
        <w:tc>
          <w:tcPr>
            <w:tcW w:w="1602" w:type="dxa"/>
            <w:gridSpan w:val="2"/>
            <w:vAlign w:val="center"/>
          </w:tcPr>
          <w:p w14:paraId="0AACDF34">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仇猫、“落水狗" 、隐鼠</w:t>
            </w:r>
          </w:p>
        </w:tc>
        <w:tc>
          <w:tcPr>
            <w:tcW w:w="3952" w:type="dxa"/>
            <w:gridSpan w:val="2"/>
            <w:vAlign w:val="center"/>
          </w:tcPr>
          <w:p w14:paraId="78EBD389">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猫的罪行：第一，猫对自己捉到的猎物，总是尽情玩弄够了才吃下去；第二，它与虎同族，却天生一副媚态；第三，它们在交配时的嗥叫令人心烦；第四，它吃了“我”小时候心爱的一只隐鼠。虽然后来证实隐鼠并非它所害，但“我”对猫是不会产生好感的，何况它后来确实吃了小兔子。</w:t>
            </w:r>
          </w:p>
        </w:tc>
        <w:tc>
          <w:tcPr>
            <w:tcW w:w="2138" w:type="dxa"/>
            <w:vAlign w:val="center"/>
          </w:tcPr>
          <w:p w14:paraId="0CBE960D">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本文是针对“正人君子”的攻击，嘲讽他们散布“流言”，表达了对“猫”一类的人“尽情折磨”弱者、“到处嗥叫”、时而“一副媚态”等特性的憎恶。同时，字里行间也流露出对弱小者的同情和对暴虐者的憎恨。</w:t>
            </w:r>
          </w:p>
        </w:tc>
      </w:tr>
      <w:tr w14:paraId="500E2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686" w:type="dxa"/>
            <w:gridSpan w:val="2"/>
            <w:vAlign w:val="center"/>
          </w:tcPr>
          <w:p w14:paraId="3FDC47E9">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《〈二十四孝图〉》</w:t>
            </w:r>
          </w:p>
        </w:tc>
        <w:tc>
          <w:tcPr>
            <w:tcW w:w="1602" w:type="dxa"/>
            <w:gridSpan w:val="2"/>
            <w:vAlign w:val="center"/>
          </w:tcPr>
          <w:p w14:paraId="00D5FED3">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《开河记》《儿童世界》 《二十四孝图》、“卧冰求鲤”</w:t>
            </w:r>
          </w:p>
        </w:tc>
        <w:tc>
          <w:tcPr>
            <w:tcW w:w="3952" w:type="dxa"/>
            <w:gridSpan w:val="2"/>
            <w:vAlign w:val="center"/>
          </w:tcPr>
          <w:p w14:paraId="3F272297">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作品从当时的儿童读物谈起,忆述儿时阅读《二十四孝图》的感受，着重分析了“卧冰求鲤”“老莱娱亲”“郭巨埋儿” 等孝道故事。</w:t>
            </w:r>
          </w:p>
        </w:tc>
        <w:tc>
          <w:tcPr>
            <w:tcW w:w="2138" w:type="dxa"/>
            <w:vAlign w:val="center"/>
          </w:tcPr>
          <w:p w14:paraId="013C7788">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斥责这类封建孝道不顾儿童的性命，将“肉麻当作有趣”“以不情为伦纪，污蔑了古人，教坏了后人”，揭露了封建孝道的虚伪和残酷。</w:t>
            </w:r>
          </w:p>
        </w:tc>
      </w:tr>
      <w:tr w14:paraId="1BB65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686" w:type="dxa"/>
            <w:gridSpan w:val="2"/>
            <w:vAlign w:val="center"/>
          </w:tcPr>
          <w:p w14:paraId="668998D2">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《父亲的病》</w:t>
            </w:r>
          </w:p>
        </w:tc>
        <w:tc>
          <w:tcPr>
            <w:tcW w:w="1602" w:type="dxa"/>
            <w:gridSpan w:val="2"/>
            <w:vAlign w:val="center"/>
          </w:tcPr>
          <w:p w14:paraId="62067FEA">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名医、陈莲河、药引、“蟋蟀一对”“平地木十株”、《高王经》</w:t>
            </w:r>
          </w:p>
        </w:tc>
        <w:tc>
          <w:tcPr>
            <w:tcW w:w="3952" w:type="dxa"/>
            <w:gridSpan w:val="2"/>
            <w:vAlign w:val="center"/>
          </w:tcPr>
          <w:p w14:paraId="3953EB31">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文章重点回忆少时为父亲求医治病的情景。父亲因得了水肿而求医，却被陈莲河等江湖庸医耽误去世，体现了江湖庸医的无能，他们明知道病已经没法治了，还故意蒙骗，开一些像“败鼓皮丸”之类的药，其实就是故弄玄虚，对治病只是忙于应付而草草了事，给人看病都只为了金钱。</w:t>
            </w:r>
          </w:p>
        </w:tc>
        <w:tc>
          <w:tcPr>
            <w:tcW w:w="2138" w:type="dxa"/>
            <w:vAlign w:val="center"/>
          </w:tcPr>
          <w:p w14:paraId="2BB34741">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作品批判庸医害人和对封建孝道的不认同。揭示了这些庸医故弄玄虚、勒索钱财、草菅人命的实质。</w:t>
            </w:r>
          </w:p>
        </w:tc>
      </w:tr>
    </w:tbl>
    <w:p w14:paraId="76BEBA3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黑体" w:hAnsi="黑体" w:eastAsia="黑体" w:cs="黑体"/>
          <w:b w:val="0"/>
          <w:bCs w:val="0"/>
          <w:color w:val="0000FF"/>
          <w:sz w:val="21"/>
          <w:lang w:val="en-US" w:eastAsia="zh-CN"/>
        </w:rPr>
      </w:pPr>
    </w:p>
    <w:p w14:paraId="4F7AD01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黑体" w:hAnsi="黑体" w:eastAsia="黑体" w:cs="黑体"/>
          <w:b w:val="0"/>
          <w:bCs w:val="0"/>
          <w:color w:val="0000FF"/>
          <w:sz w:val="21"/>
          <w:lang w:val="en-US" w:eastAsia="zh-CN"/>
        </w:rPr>
      </w:pPr>
      <w:r>
        <w:rPr>
          <w:rFonts w:hint="eastAsia" w:ascii="黑体" w:hAnsi="黑体" w:eastAsia="黑体" w:cs="黑体"/>
          <w:b w:val="0"/>
          <w:bCs w:val="0"/>
          <w:color w:val="0000FF"/>
          <w:sz w:val="21"/>
          <w:lang w:val="en-US" w:eastAsia="zh-CN"/>
        </w:rPr>
        <w:t>任务三：寻·鲁迅生活的“那些年”</w:t>
      </w:r>
    </w:p>
    <w:p w14:paraId="3FC12253">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朝花夕拾》是鲁迅从自己童年、少年、青年时代的“记忆中抄出来的片段，展现了他的一段段人生历程。浏览全书，精读部分篇章、段落，小组合作，从时空、事件等角度杭理书中鲁迅的成长经历，以自己喜欢的形式，有创意地呈现“鲁迅成长史”。</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15D6C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8" w:hRule="atLeast"/>
        </w:trPr>
        <w:tc>
          <w:tcPr>
            <w:tcW w:w="9962" w:type="dxa"/>
            <w:vAlign w:val="center"/>
          </w:tcPr>
          <w:p w14:paraId="5E3D8C94">
            <w:pPr>
              <w:tabs>
                <w:tab w:val="left" w:pos="4320"/>
              </w:tabs>
              <w:snapToGrid w:val="0"/>
              <w:spacing w:line="360" w:lineRule="auto"/>
              <w:jc w:val="center"/>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推荐阅读篇目</w:t>
            </w:r>
          </w:p>
          <w:p w14:paraId="5ECBB331">
            <w:pPr>
              <w:tabs>
                <w:tab w:val="left" w:pos="4320"/>
              </w:tabs>
              <w:snapToGrid w:val="0"/>
              <w:spacing w:line="360" w:lineRule="auto"/>
              <w:jc w:val="center"/>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《从百草园到三味书屋》《阿长与&lt;山海经&gt;》《无常》《五猖会》</w:t>
            </w:r>
          </w:p>
          <w:p w14:paraId="5C15F598">
            <w:pPr>
              <w:tabs>
                <w:tab w:val="left" w:pos="4320"/>
              </w:tabs>
              <w:snapToGrid w:val="0"/>
              <w:spacing w:line="360" w:lineRule="auto"/>
              <w:jc w:val="center"/>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《狗·猫·鼠》《父亲的病》《琐记》《藤野先生》《范爱农》</w:t>
            </w:r>
          </w:p>
        </w:tc>
      </w:tr>
    </w:tbl>
    <w:p w14:paraId="185FE5C2">
      <w:pPr>
        <w:tabs>
          <w:tab w:val="left" w:pos="4320"/>
        </w:tabs>
        <w:snapToGrid w:val="0"/>
        <w:spacing w:line="360" w:lineRule="auto"/>
        <w:ind w:firstLine="420" w:firstLineChars="200"/>
        <w:rPr>
          <w:rFonts w:hint="eastAsia" w:ascii="宋体" w:hAnsi="宋体" w:eastAsia="宋体" w:cs="宋体"/>
          <w:color w:val="000000"/>
          <w:szCs w:val="21"/>
          <w:lang w:val="en-US" w:eastAsia="zh-CN"/>
        </w:rPr>
      </w:pPr>
    </w:p>
    <w:p w14:paraId="420D857E">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预设：</w:t>
      </w:r>
    </w:p>
    <w:tbl>
      <w:tblPr>
        <w:tblStyle w:val="8"/>
        <w:tblW w:w="101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6990"/>
        <w:gridCol w:w="2013"/>
      </w:tblGrid>
      <w:tr w14:paraId="51651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10119" w:type="dxa"/>
            <w:gridSpan w:val="3"/>
            <w:vAlign w:val="center"/>
          </w:tcPr>
          <w:p w14:paraId="587B8059">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鲁迅成长史</w:t>
            </w:r>
          </w:p>
        </w:tc>
      </w:tr>
      <w:tr w14:paraId="18344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1116" w:type="dxa"/>
            <w:vAlign w:val="center"/>
          </w:tcPr>
          <w:p w14:paraId="1CC5E5DA">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时期</w:t>
            </w:r>
          </w:p>
        </w:tc>
        <w:tc>
          <w:tcPr>
            <w:tcW w:w="6990" w:type="dxa"/>
            <w:vAlign w:val="center"/>
          </w:tcPr>
          <w:p w14:paraId="23C8A60C">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经历</w:t>
            </w:r>
          </w:p>
        </w:tc>
        <w:tc>
          <w:tcPr>
            <w:tcW w:w="2013" w:type="dxa"/>
            <w:vAlign w:val="center"/>
          </w:tcPr>
          <w:p w14:paraId="51050DA9">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总结</w:t>
            </w:r>
          </w:p>
        </w:tc>
      </w:tr>
      <w:tr w14:paraId="00BBA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1116" w:type="dxa"/>
            <w:vAlign w:val="center"/>
          </w:tcPr>
          <w:p w14:paraId="0934C270">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童年</w:t>
            </w:r>
          </w:p>
        </w:tc>
        <w:tc>
          <w:tcPr>
            <w:tcW w:w="6990" w:type="dxa"/>
          </w:tcPr>
          <w:p w14:paraId="29571D42">
            <w:pPr>
              <w:tabs>
                <w:tab w:val="left" w:pos="4320"/>
              </w:tabs>
              <w:snapToGrid w:val="0"/>
              <w:spacing w:line="360" w:lineRule="auto"/>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祖母在夏日的夜晚摇着扇子给他猜谜、讲故事;长妈妈给他讲“美女蛇”“长毛”的故事;闰土的父亲教他在冬日捕鸟。平日里，他经常到百草园玩,那里是他的童年乐园;他还有一只可爱的隐鼠陪伴左右:过年时他可以从长辈那里得到压岁钱,买小鼓，刀枪,泥人,糖菩萨……</w:t>
            </w:r>
          </w:p>
        </w:tc>
        <w:tc>
          <w:tcPr>
            <w:tcW w:w="2013" w:type="dxa"/>
            <w:vAlign w:val="center"/>
          </w:tcPr>
          <w:p w14:paraId="0C8ED436">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丰富多彩</w:t>
            </w:r>
          </w:p>
          <w:p w14:paraId="738587DA">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温馨有趣</w:t>
            </w:r>
          </w:p>
        </w:tc>
      </w:tr>
      <w:tr w14:paraId="1F1AA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1116" w:type="dxa"/>
            <w:vAlign w:val="center"/>
          </w:tcPr>
          <w:p w14:paraId="4A3E211C">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少年</w:t>
            </w:r>
          </w:p>
        </w:tc>
        <w:tc>
          <w:tcPr>
            <w:tcW w:w="6990" w:type="dxa"/>
          </w:tcPr>
          <w:p w14:paraId="0C785B46">
            <w:pPr>
              <w:tabs>
                <w:tab w:val="left" w:pos="4320"/>
              </w:tabs>
              <w:snapToGrid w:val="0"/>
              <w:spacing w:line="360" w:lineRule="auto"/>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常年在家和当铺、药铺之间穿梭,寻找“名医”开出的各种奇特的药引,然而父亲的病却日益恶化,最终父亲去世。父亲临终前,他听从衍太太的教唆不停地大声喊父亲,导致父亲痛苦地离去，这给他留下了永远的遗憾。种种变故如大山一样压在他的身上，他不得不走出家门前往外面的世界……</w:t>
            </w:r>
          </w:p>
        </w:tc>
        <w:tc>
          <w:tcPr>
            <w:tcW w:w="2013" w:type="dxa"/>
            <w:vAlign w:val="center"/>
          </w:tcPr>
          <w:p w14:paraId="5C6FEE2B">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苦涩而</w:t>
            </w:r>
          </w:p>
          <w:p w14:paraId="165400AB">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又迷茫</w:t>
            </w:r>
          </w:p>
        </w:tc>
      </w:tr>
      <w:tr w14:paraId="2437C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1116" w:type="dxa"/>
            <w:vAlign w:val="center"/>
          </w:tcPr>
          <w:p w14:paraId="5781102B">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青年</w:t>
            </w:r>
          </w:p>
        </w:tc>
        <w:tc>
          <w:tcPr>
            <w:tcW w:w="6990" w:type="dxa"/>
          </w:tcPr>
          <w:p w14:paraId="4C3800F8">
            <w:pPr>
              <w:tabs>
                <w:tab w:val="left" w:pos="4320"/>
              </w:tabs>
              <w:snapToGrid w:val="0"/>
              <w:spacing w:line="360" w:lineRule="auto"/>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在矿路学堂,他接触到《天演论》等进步书籍,了解到新的思想。在日本学医期间，“讲义事件”和“幻灯片事件”对他触动极大,他意识到学医只能医治人们病痛的身体,而只有唤醒人们麻木的灵魂才能真正救人,因此他走上了文学之路;在东京时,他还认识了范爱农，在回忆与范爱农的交往中，穿插了自己被打着进步旗号的青年利用的事,让人唏嘘。另外,这时期的鲁迅也表达了对所谓的“正人君子”的深恶痛绝,还有对反对和妨害白话者的痛恨……</w:t>
            </w:r>
          </w:p>
        </w:tc>
        <w:tc>
          <w:tcPr>
            <w:tcW w:w="2013" w:type="dxa"/>
            <w:vAlign w:val="center"/>
          </w:tcPr>
          <w:p w14:paraId="13E487D9">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是新鲜的，也是屈辱的，更是励志的</w:t>
            </w:r>
          </w:p>
        </w:tc>
      </w:tr>
    </w:tbl>
    <w:p w14:paraId="12BBE6BF">
      <w:pPr>
        <w:tabs>
          <w:tab w:val="left" w:pos="4320"/>
        </w:tabs>
        <w:snapToGrid w:val="0"/>
        <w:spacing w:line="360" w:lineRule="auto"/>
        <w:ind w:firstLine="420" w:firstLineChars="200"/>
        <w:rPr>
          <w:rFonts w:hint="eastAsia" w:ascii="宋体" w:hAnsi="宋体" w:eastAsia="宋体" w:cs="宋体"/>
          <w:color w:val="000000"/>
          <w:szCs w:val="21"/>
          <w:lang w:val="en-US" w:eastAsia="zh-CN"/>
        </w:rPr>
      </w:pPr>
    </w:p>
    <w:p w14:paraId="1E35DD2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黑体" w:hAnsi="黑体" w:eastAsia="黑体" w:cs="黑体"/>
          <w:b w:val="0"/>
          <w:bCs w:val="0"/>
          <w:color w:val="0000FF"/>
          <w:sz w:val="21"/>
          <w:lang w:val="en-US" w:eastAsia="zh-CN"/>
        </w:rPr>
      </w:pPr>
      <w:r>
        <w:rPr>
          <w:rFonts w:hint="eastAsia" w:ascii="黑体" w:hAnsi="黑体" w:eastAsia="黑体" w:cs="黑体"/>
          <w:b w:val="0"/>
          <w:bCs w:val="0"/>
          <w:color w:val="0000FF"/>
          <w:sz w:val="21"/>
          <w:lang w:val="en-US" w:eastAsia="zh-CN"/>
        </w:rPr>
        <w:t>任务四：识·鲁迅笔下的“那些人”</w:t>
      </w:r>
    </w:p>
    <w:p w14:paraId="1B755308">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朝花夕拾》中，鲁迅记录了自己生命中出现的一些人物，有些在生活上给予他帮助，有些带给他情感的慰藉，有些对他精神的成长产生过影响，还有一些仅是他生命中的匆匆过客，却也给读者留下了深刻印象。任选书中的一个人物，精读与之相关的内容，分析其性格特点，为他制作“人物名片”。</w:t>
      </w:r>
    </w:p>
    <w:p w14:paraId="325E3D4F">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预设：</w:t>
      </w:r>
    </w:p>
    <w:tbl>
      <w:tblPr>
        <w:tblStyle w:val="8"/>
        <w:tblW w:w="0" w:type="auto"/>
        <w:tblInd w:w="1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0"/>
        <w:gridCol w:w="1060"/>
        <w:gridCol w:w="917"/>
        <w:gridCol w:w="4164"/>
        <w:gridCol w:w="2107"/>
      </w:tblGrid>
      <w:tr w14:paraId="1150D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1560" w:type="dxa"/>
            <w:vAlign w:val="center"/>
          </w:tcPr>
          <w:p w14:paraId="710F9256">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人物</w:t>
            </w:r>
          </w:p>
        </w:tc>
        <w:tc>
          <w:tcPr>
            <w:tcW w:w="1060" w:type="dxa"/>
            <w:vAlign w:val="center"/>
          </w:tcPr>
          <w:p w14:paraId="095482B9">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出处</w:t>
            </w:r>
          </w:p>
        </w:tc>
        <w:tc>
          <w:tcPr>
            <w:tcW w:w="917" w:type="dxa"/>
            <w:vAlign w:val="center"/>
          </w:tcPr>
          <w:p w14:paraId="582F6BC2">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关系</w:t>
            </w:r>
          </w:p>
        </w:tc>
        <w:tc>
          <w:tcPr>
            <w:tcW w:w="4164" w:type="dxa"/>
            <w:vAlign w:val="center"/>
          </w:tcPr>
          <w:p w14:paraId="557B8314">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典型情节及人物形象</w:t>
            </w:r>
          </w:p>
        </w:tc>
        <w:tc>
          <w:tcPr>
            <w:tcW w:w="2107" w:type="dxa"/>
            <w:vAlign w:val="center"/>
          </w:tcPr>
          <w:p w14:paraId="36BE64A3">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作者态度</w:t>
            </w:r>
          </w:p>
        </w:tc>
      </w:tr>
      <w:tr w14:paraId="6CDAB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1560" w:type="dxa"/>
            <w:vAlign w:val="center"/>
          </w:tcPr>
          <w:p w14:paraId="2EB05169">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pPr>
            <w:r>
              <w:drawing>
                <wp:inline distT="0" distB="0" distL="114300" distR="114300">
                  <wp:extent cx="774700" cy="891540"/>
                  <wp:effectExtent l="0" t="0" r="0" b="7620"/>
                  <wp:docPr id="2459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96" name="图片 2"/>
                          <pic:cNvPicPr>
                            <a:picLocks noChangeAspect="1" noChangeArrowheads="1"/>
                          </pic:cNvPicPr>
                        </pic:nvPicPr>
                        <pic:blipFill>
                          <a:blip r:embed="rId13">
                            <a:clrChange>
                              <a:clrFrom>
                                <a:srgbClr val="FFFFFF">
                                  <a:alpha val="100000"/>
                                </a:srgbClr>
                              </a:clrFrom>
                              <a:clrTo>
                                <a:srgbClr val="FFFFFF">
                                  <a:alpha val="100000"/>
                                  <a:alpha val="0"/>
                                </a:srgbClr>
                              </a:clrTo>
                            </a:clrChange>
                            <a:extLst>
                              <a:ext uri="{28A0092B-C50C-407E-A947-70E740481C1C}">
                                <a14:useLocalDpi xmlns:a14="http://schemas.microsoft.com/office/drawing/2010/main" val="0"/>
                              </a:ext>
                            </a:extLst>
                          </a:blip>
                          <a:stretch>
                            <a:fillRect/>
                          </a:stretch>
                        </pic:blipFill>
                        <pic:spPr>
                          <a:xfrm>
                            <a:off x="0" y="0"/>
                            <a:ext cx="774700" cy="891540"/>
                          </a:xfrm>
                          <a:prstGeom prst="rect">
                            <a:avLst/>
                          </a:prstGeom>
                          <a:noFill/>
                          <a:ln>
                            <a:noFill/>
                          </a:ln>
                        </pic:spPr>
                      </pic:pic>
                    </a:graphicData>
                  </a:graphic>
                </wp:inline>
              </w:drawing>
            </w:r>
          </w:p>
          <w:p w14:paraId="7A12B361">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lang w:val="en-US" w:eastAsia="zh-CN"/>
              </w:rPr>
            </w:pPr>
            <w:r>
              <w:rPr>
                <w:rFonts w:hint="eastAsia" w:ascii="宋体" w:hAnsi="宋体" w:eastAsia="宋体" w:cs="宋体"/>
                <w:lang w:val="en-US" w:eastAsia="zh-CN"/>
              </w:rPr>
              <w:t>长妈妈</w:t>
            </w:r>
          </w:p>
        </w:tc>
        <w:tc>
          <w:tcPr>
            <w:tcW w:w="1060" w:type="dxa"/>
            <w:vAlign w:val="center"/>
          </w:tcPr>
          <w:p w14:paraId="125C2517">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《阿长与〈山海经〉》</w:t>
            </w:r>
          </w:p>
          <w:p w14:paraId="0994E84A">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《从百草园到三味书屋》</w:t>
            </w:r>
          </w:p>
        </w:tc>
        <w:tc>
          <w:tcPr>
            <w:tcW w:w="917" w:type="dxa"/>
            <w:vAlign w:val="center"/>
          </w:tcPr>
          <w:p w14:paraId="27AEABEC">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“我”的保姆</w:t>
            </w:r>
          </w:p>
        </w:tc>
        <w:tc>
          <w:tcPr>
            <w:tcW w:w="4164" w:type="dxa"/>
            <w:vAlign w:val="center"/>
          </w:tcPr>
          <w:p w14:paraId="4E16A63A">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①喜欢切切察察，在床上摆“大”字，给“我”讲长毛的故事。(《阿长与〈山海经〉》)——愚昧无知、不拘小节</w:t>
            </w:r>
          </w:p>
          <w:p w14:paraId="5853F6FC">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②农历正月初一要吃福橘，人死了要说“老掉了”。(《阿长与〈山海经〉》)——迷信、唠叨</w:t>
            </w:r>
          </w:p>
          <w:p w14:paraId="7CF8C3C0">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③给“我”买带图的《山海经》。(《阿长与〈山海经〉》)——朴实善良、仁厚慈爱</w:t>
            </w:r>
          </w:p>
          <w:p w14:paraId="77A3F69B">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④给“我”讲“美女蛇”的故事。(《从百草园到三味书屋》)——关爱孩子</w:t>
            </w:r>
          </w:p>
        </w:tc>
        <w:tc>
          <w:tcPr>
            <w:tcW w:w="2107" w:type="dxa"/>
            <w:vAlign w:val="center"/>
          </w:tcPr>
          <w:p w14:paraId="2FE08156">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成年鲁迅对她始终充满深切的怀念，是成年鲁迅生活中温馨的回忆。</w:t>
            </w:r>
          </w:p>
        </w:tc>
      </w:tr>
      <w:tr w14:paraId="4CCEC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1560" w:type="dxa"/>
            <w:vAlign w:val="center"/>
          </w:tcPr>
          <w:p w14:paraId="1BFEFDB4">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宋体"/>
              </w:rPr>
            </w:pPr>
            <w:r>
              <w:rPr>
                <w:rFonts w:hint="eastAsia" w:ascii="宋体" w:hAnsi="宋体" w:eastAsia="宋体" w:cs="宋体"/>
              </w:rPr>
              <w:drawing>
                <wp:inline distT="0" distB="0" distL="114300" distR="114300">
                  <wp:extent cx="619760" cy="982980"/>
                  <wp:effectExtent l="0" t="0" r="5080" b="7620"/>
                  <wp:docPr id="101" name="图片 100"/>
                  <wp:cNvGraphicFramePr/>
                  <a:graphic xmlns:a="http://schemas.openxmlformats.org/drawingml/2006/main">
                    <a:graphicData uri="http://schemas.openxmlformats.org/drawingml/2006/picture">
                      <pic:pic xmlns:pic="http://schemas.openxmlformats.org/drawingml/2006/picture">
                        <pic:nvPicPr>
                          <pic:cNvPr id="101" name="图片 100"/>
                          <pic:cNvPicPr/>
                        </pic:nvPicPr>
                        <pic:blipFill>
                          <a:blip r:embed="rId14"/>
                          <a:stretch>
                            <a:fillRect/>
                          </a:stretch>
                        </pic:blipFill>
                        <pic:spPr>
                          <a:xfrm>
                            <a:off x="0" y="0"/>
                            <a:ext cx="619760" cy="982980"/>
                          </a:xfrm>
                          <a:prstGeom prst="rect">
                            <a:avLst/>
                          </a:prstGeom>
                          <a:noFill/>
                          <a:ln w="9525">
                            <a:noFill/>
                          </a:ln>
                        </pic:spPr>
                      </pic:pic>
                    </a:graphicData>
                  </a:graphic>
                </wp:inline>
              </w:drawing>
            </w:r>
          </w:p>
          <w:p w14:paraId="16B24CFE">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宋体"/>
                <w:lang w:val="en-US" w:eastAsia="zh-CN"/>
              </w:rPr>
            </w:pPr>
            <w:r>
              <w:rPr>
                <w:rFonts w:hint="eastAsia" w:ascii="宋体" w:hAnsi="宋体" w:eastAsia="宋体" w:cs="宋体"/>
                <w:lang w:val="en-US" w:eastAsia="zh-CN"/>
              </w:rPr>
              <w:t>寿镜吾</w:t>
            </w:r>
          </w:p>
        </w:tc>
        <w:tc>
          <w:tcPr>
            <w:tcW w:w="1060" w:type="dxa"/>
            <w:vAlign w:val="center"/>
          </w:tcPr>
          <w:p w14:paraId="579EA83D">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《从百草园到三味书屋》</w:t>
            </w:r>
          </w:p>
        </w:tc>
        <w:tc>
          <w:tcPr>
            <w:tcW w:w="917" w:type="dxa"/>
            <w:vAlign w:val="center"/>
          </w:tcPr>
          <w:p w14:paraId="504265D6">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“我”儿时的老师</w:t>
            </w:r>
          </w:p>
        </w:tc>
        <w:tc>
          <w:tcPr>
            <w:tcW w:w="4164" w:type="dxa"/>
            <w:vAlign w:val="center"/>
          </w:tcPr>
          <w:p w14:paraId="01021194">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①“我”向他询问“怪哉”虫的事情时脸有怒色。——略有古板、迂腐</w:t>
            </w:r>
          </w:p>
          <w:p w14:paraId="1EBD5CC9">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②循序渐进地教“我”读书；对待学生和蔼答礼，戒尺和罚跪的规则都不常用。——博学、宽容、淳朴、亲切</w:t>
            </w:r>
          </w:p>
        </w:tc>
        <w:tc>
          <w:tcPr>
            <w:tcW w:w="2107" w:type="dxa"/>
            <w:vAlign w:val="center"/>
          </w:tcPr>
          <w:p w14:paraId="7139FF34">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寿镜吾老先生在童年鲁迅和成年鲁迅的心目中都是值得怀想尊敬的。</w:t>
            </w:r>
          </w:p>
        </w:tc>
      </w:tr>
      <w:tr w14:paraId="4AD15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1560" w:type="dxa"/>
            <w:vAlign w:val="center"/>
          </w:tcPr>
          <w:p w14:paraId="211A5056">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pPr>
            <w:r>
              <w:drawing>
                <wp:inline distT="0" distB="0" distL="114300" distR="114300">
                  <wp:extent cx="637540" cy="812800"/>
                  <wp:effectExtent l="0" t="0" r="2540" b="10160"/>
                  <wp:docPr id="7"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5"/>
                          <pic:cNvPicPr>
                            <a:picLocks noChangeAspect="1"/>
                          </pic:cNvPicPr>
                        </pic:nvPicPr>
                        <pic:blipFill>
                          <a:blip r:embed="rId15"/>
                          <a:stretch>
                            <a:fillRect/>
                          </a:stretch>
                        </pic:blipFill>
                        <pic:spPr>
                          <a:xfrm>
                            <a:off x="0" y="0"/>
                            <a:ext cx="637540" cy="812800"/>
                          </a:xfrm>
                          <a:prstGeom prst="rect">
                            <a:avLst/>
                          </a:prstGeom>
                        </pic:spPr>
                      </pic:pic>
                    </a:graphicData>
                  </a:graphic>
                </wp:inline>
              </w:drawing>
            </w:r>
          </w:p>
          <w:p w14:paraId="682B52D6">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rPr>
            </w:pPr>
            <w:r>
              <w:rPr>
                <w:rFonts w:hint="eastAsia" w:ascii="宋体" w:hAnsi="宋体" w:eastAsia="宋体" w:cs="宋体"/>
              </w:rPr>
              <w:t>藤野先生</w:t>
            </w:r>
          </w:p>
        </w:tc>
        <w:tc>
          <w:tcPr>
            <w:tcW w:w="1060" w:type="dxa"/>
            <w:vAlign w:val="center"/>
          </w:tcPr>
          <w:p w14:paraId="73659598">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《藤野先生》</w:t>
            </w:r>
          </w:p>
        </w:tc>
        <w:tc>
          <w:tcPr>
            <w:tcW w:w="917" w:type="dxa"/>
            <w:vAlign w:val="center"/>
          </w:tcPr>
          <w:p w14:paraId="3E14FA52">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“我”儿时的老师</w:t>
            </w:r>
          </w:p>
        </w:tc>
        <w:tc>
          <w:tcPr>
            <w:tcW w:w="4164" w:type="dxa"/>
            <w:vAlign w:val="center"/>
          </w:tcPr>
          <w:p w14:paraId="03DF705D">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①衣着简朴，有时会忘戴领结。——勤俭、不拘小节</w:t>
            </w:r>
          </w:p>
          <w:p w14:paraId="236BF647">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②添改“我”的讲义。——关心学生、认真负责</w:t>
            </w:r>
          </w:p>
          <w:p w14:paraId="34C6F601">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③纠正“我”的解剖图。——治学严谨、一丝不苟</w:t>
            </w:r>
          </w:p>
          <w:p w14:paraId="38DDA778">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④关心“我”的解剖试验。——尊重不同文化、没有民族偏见</w:t>
            </w:r>
          </w:p>
          <w:p w14:paraId="5EA0CD90">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⑤了解中国女人的裹脚情况。——认真求实、注重调查</w:t>
            </w:r>
          </w:p>
        </w:tc>
        <w:tc>
          <w:tcPr>
            <w:tcW w:w="2107" w:type="dxa"/>
            <w:vAlign w:val="center"/>
          </w:tcPr>
          <w:p w14:paraId="7FAA7DFF">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从相关事件中看出作者对藤野先生无言的感激与怀念。</w:t>
            </w:r>
          </w:p>
        </w:tc>
      </w:tr>
      <w:tr w14:paraId="5BEBE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1560" w:type="dxa"/>
            <w:vAlign w:val="center"/>
          </w:tcPr>
          <w:p w14:paraId="38B892E7">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pPr>
            <w:r>
              <w:drawing>
                <wp:inline distT="0" distB="0" distL="114300" distR="114300">
                  <wp:extent cx="645160" cy="822960"/>
                  <wp:effectExtent l="0" t="0" r="10160" b="0"/>
                  <wp:docPr id="100" name="图片 99"/>
                  <wp:cNvGraphicFramePr/>
                  <a:graphic xmlns:a="http://schemas.openxmlformats.org/drawingml/2006/main">
                    <a:graphicData uri="http://schemas.openxmlformats.org/drawingml/2006/picture">
                      <pic:pic xmlns:pic="http://schemas.openxmlformats.org/drawingml/2006/picture">
                        <pic:nvPicPr>
                          <pic:cNvPr id="100" name="图片 99"/>
                          <pic:cNvPicPr/>
                        </pic:nvPicPr>
                        <pic:blipFill>
                          <a:blip r:embed="rId16"/>
                          <a:srcRect l="50676" t="7714" r="8990" b="60874"/>
                          <a:stretch>
                            <a:fillRect/>
                          </a:stretch>
                        </pic:blipFill>
                        <pic:spPr>
                          <a:xfrm>
                            <a:off x="0" y="0"/>
                            <a:ext cx="645160" cy="822960"/>
                          </a:xfrm>
                          <a:prstGeom prst="rect">
                            <a:avLst/>
                          </a:prstGeom>
                          <a:noFill/>
                          <a:ln w="9525">
                            <a:noFill/>
                          </a:ln>
                        </pic:spPr>
                      </pic:pic>
                    </a:graphicData>
                  </a:graphic>
                </wp:inline>
              </w:drawing>
            </w:r>
          </w:p>
          <w:p w14:paraId="587E0FAD">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rPr>
            </w:pPr>
            <w:r>
              <w:rPr>
                <w:rFonts w:hint="eastAsia" w:ascii="宋体" w:hAnsi="宋体" w:eastAsia="宋体" w:cs="宋体"/>
              </w:rPr>
              <w:t>范爱农</w:t>
            </w:r>
          </w:p>
        </w:tc>
        <w:tc>
          <w:tcPr>
            <w:tcW w:w="1060" w:type="dxa"/>
            <w:vAlign w:val="center"/>
          </w:tcPr>
          <w:p w14:paraId="68DB9636">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《范爱农》</w:t>
            </w:r>
          </w:p>
        </w:tc>
        <w:tc>
          <w:tcPr>
            <w:tcW w:w="917" w:type="dxa"/>
            <w:vAlign w:val="center"/>
          </w:tcPr>
          <w:p w14:paraId="1642D99C">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“我”的同乡</w:t>
            </w:r>
          </w:p>
        </w:tc>
        <w:tc>
          <w:tcPr>
            <w:tcW w:w="4164" w:type="dxa"/>
            <w:vAlign w:val="center"/>
          </w:tcPr>
          <w:p w14:paraId="6D50F77B">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①绣花鞋事件，让座风波。——自尊心强、重情义</w:t>
            </w:r>
          </w:p>
          <w:p w14:paraId="23F90925">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②拍发电报，看光复的绍兴。——倔强耿直、愤世嫉俗</w:t>
            </w:r>
          </w:p>
          <w:p w14:paraId="1ABF400D">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③当监学兼教书时很勤快。——追求进步、负责</w:t>
            </w:r>
          </w:p>
        </w:tc>
        <w:tc>
          <w:tcPr>
            <w:tcW w:w="2107" w:type="dxa"/>
            <w:vAlign w:val="center"/>
          </w:tcPr>
          <w:p w14:paraId="1E782C7E">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曾经互看不顺眼，后又成为志同道合的好友，对于他的不幸溺亡，鲁迅深觉悲痛和惋惜，同时也表达了对旧民主革命不彻底的批判。</w:t>
            </w:r>
          </w:p>
        </w:tc>
      </w:tr>
      <w:tr w14:paraId="0E640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1560" w:type="dxa"/>
            <w:vAlign w:val="center"/>
          </w:tcPr>
          <w:p w14:paraId="640CBB83">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宋体"/>
              </w:rPr>
            </w:pPr>
            <w:r>
              <w:rPr>
                <w:rFonts w:hint="eastAsia" w:ascii="宋体" w:hAnsi="宋体" w:eastAsia="宋体" w:cs="宋体"/>
              </w:rPr>
              <w:drawing>
                <wp:inline distT="0" distB="0" distL="114300" distR="114300">
                  <wp:extent cx="702945" cy="1271270"/>
                  <wp:effectExtent l="0" t="0" r="13335" b="8890"/>
                  <wp:docPr id="2767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74" name="图片 11"/>
                          <pic:cNvPicPr>
                            <a:picLocks noChangeAspect="1" noChangeArrowheads="1"/>
                          </pic:cNvPicPr>
                        </pic:nvPicPr>
                        <pic:blipFill>
                          <a:blip r:embed="rId17">
                            <a:clrChange>
                              <a:clrFrom>
                                <a:srgbClr val="FFFFFF">
                                  <a:alpha val="100000"/>
                                </a:srgbClr>
                              </a:clrFrom>
                              <a:clrTo>
                                <a:srgbClr val="FFFFFF">
                                  <a:alpha val="100000"/>
                                  <a:alpha val="0"/>
                                </a:srgbClr>
                              </a:clrTo>
                            </a:clrChange>
                            <a:extLst>
                              <a:ext uri="{28A0092B-C50C-407E-A947-70E740481C1C}">
                                <a14:useLocalDpi xmlns:a14="http://schemas.microsoft.com/office/drawing/2010/main" val="0"/>
                              </a:ext>
                            </a:extLst>
                          </a:blip>
                          <a:srcRect r="44752" b="-1078"/>
                          <a:stretch>
                            <a:fillRect/>
                          </a:stretch>
                        </pic:blipFill>
                        <pic:spPr>
                          <a:xfrm>
                            <a:off x="0" y="0"/>
                            <a:ext cx="702945" cy="1271270"/>
                          </a:xfrm>
                          <a:prstGeom prst="rect">
                            <a:avLst/>
                          </a:prstGeom>
                          <a:noFill/>
                          <a:ln>
                            <a:noFill/>
                          </a:ln>
                        </pic:spPr>
                      </pic:pic>
                    </a:graphicData>
                  </a:graphic>
                </wp:inline>
              </w:drawing>
            </w:r>
          </w:p>
          <w:p w14:paraId="21A85B1B">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宋体"/>
              </w:rPr>
            </w:pPr>
            <w:r>
              <w:rPr>
                <w:rFonts w:hint="eastAsia" w:ascii="宋体" w:hAnsi="宋体" w:eastAsia="宋体" w:cs="宋体"/>
              </w:rPr>
              <w:t>衍太太</w:t>
            </w:r>
          </w:p>
        </w:tc>
        <w:tc>
          <w:tcPr>
            <w:tcW w:w="1060" w:type="dxa"/>
            <w:vAlign w:val="center"/>
          </w:tcPr>
          <w:p w14:paraId="529DF7BE">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《琐记》《父亲的病》</w:t>
            </w:r>
          </w:p>
        </w:tc>
        <w:tc>
          <w:tcPr>
            <w:tcW w:w="917" w:type="dxa"/>
            <w:vAlign w:val="center"/>
          </w:tcPr>
          <w:p w14:paraId="2353107D">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“我”的邻居</w:t>
            </w:r>
          </w:p>
          <w:p w14:paraId="068E516E">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宋体"/>
                <w:color w:val="000000"/>
                <w:szCs w:val="21"/>
                <w:vertAlign w:val="baseline"/>
                <w:lang w:val="en-US" w:eastAsia="zh-CN"/>
              </w:rPr>
            </w:pPr>
          </w:p>
        </w:tc>
        <w:tc>
          <w:tcPr>
            <w:tcW w:w="4164" w:type="dxa"/>
            <w:vAlign w:val="center"/>
          </w:tcPr>
          <w:p w14:paraId="68097AF8">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①挑唆“我”偷母亲的首饰卖钱并散布谣言(《琐记》)；催促“我”在父亲弥留之际呼喊，让父亲不能安心离世(《父亲的病》)。——多嘴多舌、心术不正</w:t>
            </w:r>
          </w:p>
          <w:p w14:paraId="51FBA148">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②鼓励孩子吃冰、打旋子，怂恿“我”看不健康的书籍，对自己的孩子却要求严格。(《琐记》)——自私虚伪、表里不一</w:t>
            </w:r>
          </w:p>
          <w:p w14:paraId="20F0B0EC">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宋体"/>
                <w:color w:val="000000"/>
                <w:szCs w:val="21"/>
                <w:vertAlign w:val="baseline"/>
                <w:lang w:val="en-US" w:eastAsia="zh-CN"/>
              </w:rPr>
            </w:pPr>
          </w:p>
        </w:tc>
        <w:tc>
          <w:tcPr>
            <w:tcW w:w="2107" w:type="dxa"/>
            <w:vAlign w:val="center"/>
          </w:tcPr>
          <w:p w14:paraId="15B5F383">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少年时期曾被衍太太和蔼可亲的表面所迷惑，成年后对其充满鄙夷，并借此批判这种处心积虑陷害别人，将他人置于水深火热之中的“精神废料”。</w:t>
            </w:r>
          </w:p>
        </w:tc>
      </w:tr>
      <w:tr w14:paraId="2B1CE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1560" w:type="dxa"/>
            <w:vAlign w:val="center"/>
          </w:tcPr>
          <w:p w14:paraId="4CF84906">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宋体"/>
              </w:rPr>
            </w:pPr>
            <w:r>
              <w:rPr>
                <w:rFonts w:hint="eastAsia" w:ascii="宋体" w:hAnsi="宋体" w:eastAsia="宋体" w:cs="宋体"/>
              </w:rPr>
              <w:drawing>
                <wp:inline distT="0" distB="0" distL="114300" distR="114300">
                  <wp:extent cx="658495" cy="757555"/>
                  <wp:effectExtent l="0" t="0" r="0" b="4445"/>
                  <wp:docPr id="2971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716" name="图片 11"/>
                          <pic:cNvPicPr>
                            <a:picLocks noChangeAspect="1" noChangeArrowheads="1"/>
                          </pic:cNvPicPr>
                        </pic:nvPicPr>
                        <pic:blipFill>
                          <a:blip r:embed="rId18">
                            <a:clrChange>
                              <a:clrFrom>
                                <a:srgbClr val="FFFFFF">
                                  <a:alpha val="100000"/>
                                </a:srgbClr>
                              </a:clrFrom>
                              <a:clrTo>
                                <a:srgbClr val="FFFFFF">
                                  <a:alpha val="100000"/>
                                  <a:alpha val="0"/>
                                </a:srgbClr>
                              </a:clrTo>
                            </a:clrChange>
                            <a:extLst>
                              <a:ext uri="{28A0092B-C50C-407E-A947-70E740481C1C}">
                                <a14:useLocalDpi xmlns:a14="http://schemas.microsoft.com/office/drawing/2010/main" val="0"/>
                              </a:ext>
                            </a:extLst>
                          </a:blip>
                          <a:stretch>
                            <a:fillRect/>
                          </a:stretch>
                        </pic:blipFill>
                        <pic:spPr>
                          <a:xfrm>
                            <a:off x="0" y="0"/>
                            <a:ext cx="658495" cy="757555"/>
                          </a:xfrm>
                          <a:prstGeom prst="rect">
                            <a:avLst/>
                          </a:prstGeom>
                          <a:noFill/>
                          <a:ln>
                            <a:noFill/>
                          </a:ln>
                        </pic:spPr>
                      </pic:pic>
                    </a:graphicData>
                  </a:graphic>
                </wp:inline>
              </w:drawing>
            </w:r>
          </w:p>
          <w:p w14:paraId="6FD793AB">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宋体"/>
              </w:rPr>
            </w:pPr>
            <w:r>
              <w:rPr>
                <w:rFonts w:hint="eastAsia" w:ascii="宋体" w:hAnsi="宋体" w:eastAsia="宋体" w:cs="宋体"/>
              </w:rPr>
              <w:t>陈莲河</w:t>
            </w:r>
          </w:p>
        </w:tc>
        <w:tc>
          <w:tcPr>
            <w:tcW w:w="1060" w:type="dxa"/>
            <w:vAlign w:val="center"/>
          </w:tcPr>
          <w:p w14:paraId="46765983">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《父亲的病》</w:t>
            </w:r>
          </w:p>
        </w:tc>
        <w:tc>
          <w:tcPr>
            <w:tcW w:w="917" w:type="dxa"/>
            <w:vAlign w:val="center"/>
          </w:tcPr>
          <w:p w14:paraId="1FF10EF4">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医治父亲的“名医”</w:t>
            </w:r>
          </w:p>
        </w:tc>
        <w:tc>
          <w:tcPr>
            <w:tcW w:w="4164" w:type="dxa"/>
            <w:vAlign w:val="center"/>
          </w:tcPr>
          <w:p w14:paraId="090DD317">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①用“蟋蟀一对”“败鼓皮丸”等稀奇药物为药引——故弄玄虚</w:t>
            </w:r>
          </w:p>
          <w:p w14:paraId="63038622">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②认为舌乃心之灵苗，建议父亲用一种在舌上的丹——愚弄病人</w:t>
            </w:r>
          </w:p>
          <w:p w14:paraId="54081CBD">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③认为医能医病，不能医命，让父亲请人看一看冤愆的建议——封建迷信、草菅人命</w:t>
            </w:r>
          </w:p>
        </w:tc>
        <w:tc>
          <w:tcPr>
            <w:tcW w:w="2107" w:type="dxa"/>
            <w:vAlign w:val="center"/>
          </w:tcPr>
          <w:p w14:paraId="0233AFBA">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通过家庭的变故表达了对“名医”庸医误人、故弄玄虚、勒索钱财、草菅人命的深切的痛恨，在感叹中让人体会到人生的伤悲。</w:t>
            </w:r>
          </w:p>
        </w:tc>
      </w:tr>
    </w:tbl>
    <w:p w14:paraId="4DF900BE">
      <w:pPr>
        <w:tabs>
          <w:tab w:val="left" w:pos="4320"/>
        </w:tabs>
        <w:snapToGrid w:val="0"/>
        <w:spacing w:line="360" w:lineRule="auto"/>
        <w:ind w:firstLine="420" w:firstLineChars="200"/>
        <w:rPr>
          <w:rFonts w:hint="eastAsia" w:ascii="宋体" w:hAnsi="宋体" w:eastAsia="宋体" w:cs="宋体"/>
          <w:color w:val="000000"/>
          <w:szCs w:val="21"/>
          <w:lang w:eastAsia="zh-CN"/>
        </w:rPr>
      </w:pPr>
    </w:p>
    <w:p w14:paraId="7B11717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黑体" w:hAnsi="黑体" w:eastAsia="黑体" w:cs="黑体"/>
          <w:b w:val="0"/>
          <w:bCs w:val="0"/>
          <w:color w:val="0000FF"/>
          <w:sz w:val="21"/>
          <w:lang w:val="en-US" w:eastAsia="zh-CN"/>
        </w:rPr>
      </w:pPr>
      <w:r>
        <w:rPr>
          <w:rFonts w:hint="eastAsia" w:ascii="黑体" w:hAnsi="黑体" w:eastAsia="黑体" w:cs="黑体"/>
          <w:b w:val="0"/>
          <w:bCs w:val="0"/>
          <w:color w:val="0000FF"/>
          <w:sz w:val="21"/>
          <w:lang w:val="en-US" w:eastAsia="zh-CN"/>
        </w:rPr>
        <w:t>任务五：察·鲁迅心中的“那些情”</w:t>
      </w:r>
    </w:p>
    <w:p w14:paraId="54744EDB">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1.《朝花夕拾》写人记事，在平淡质朴的笔墨中蕴有深的情感，文章也就表现出丰富多样的感情色彩。阅读《朝花夕拾》，梳理鲁迅对各种人与事的情感态度，探究他情感背后的思想立场。基于自己的理解，给写作《朝花夕拾》时的鲁迅写一封信，和他交流你对他的理解，以及从书中获得的人生启示。</w:t>
      </w:r>
    </w:p>
    <w:p w14:paraId="18D3E366">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预设：</w:t>
      </w:r>
    </w:p>
    <w:p w14:paraId="23B0D3AF">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drawing>
          <wp:inline distT="0" distB="0" distL="114300" distR="114300">
            <wp:extent cx="5399405" cy="2817495"/>
            <wp:effectExtent l="0" t="0" r="10795" b="190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9"/>
                    <a:stretch>
                      <a:fillRect/>
                    </a:stretch>
                  </pic:blipFill>
                  <pic:spPr>
                    <a:xfrm>
                      <a:off x="0" y="0"/>
                      <a:ext cx="5399405" cy="2817495"/>
                    </a:xfrm>
                    <a:prstGeom prst="rect">
                      <a:avLst/>
                    </a:prstGeom>
                    <a:noFill/>
                    <a:ln>
                      <a:noFill/>
                    </a:ln>
                  </pic:spPr>
                </pic:pic>
              </a:graphicData>
            </a:graphic>
          </wp:inline>
        </w:drawing>
      </w:r>
    </w:p>
    <w:p w14:paraId="422CA4C3">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301C9584">
      <w:pPr>
        <w:tabs>
          <w:tab w:val="left" w:pos="4320"/>
        </w:tabs>
        <w:snapToGrid w:val="0"/>
        <w:spacing w:line="360" w:lineRule="auto"/>
        <w:ind w:firstLine="420" w:firstLineChars="200"/>
        <w:jc w:val="center"/>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给鲁迅先生的一封信</w:t>
      </w:r>
    </w:p>
    <w:p w14:paraId="415D4989">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0" w:firstLineChars="0"/>
        <w:textAlignment w:val="auto"/>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尊敬的鲁迅先生:</w:t>
      </w:r>
    </w:p>
    <w:p w14:paraId="51839EA8">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您好!</w:t>
      </w:r>
    </w:p>
    <w:p w14:paraId="37F11536">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给您写这封信我深感荣幸。我知道,《朝花夕拾》这本书是您的一部重要散文集,其中所收录的十篇回忆性散文,反映了您童年、少年、青年时期的生活,也呈现了您的性格和志趣的形成过程,表达了您对社会和人性的深刻见解。我希望能通过这封信,更深入地了解您在写作时的思想情感。</w:t>
      </w:r>
    </w:p>
    <w:p w14:paraId="4AEDF6A8">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面对童年成长的环境、对特别关心帮助自己的“责人”,您是温情脉脉的。在您童年的世界里,有心爱的宠物,有玩耍的乐园,这里,斑蝥会释放特殊的臭气,蜈蚣也是可怕的毒虫,两种平时不讨人喜欢的动物却有着“无限趣味”.……在您的成长过程中,您还遇到了两个特别难忘的人。一个是“长妈妈”,她虽然没有文化,甚至有几分粗俗,但她心地善良、乐于助人,对生活有着美好希望,还给您买了“最为心爱”的《山海经》;一个是藤野先生,他认真订正您的讲义,关心您解剖尸体的情况,正直热诚,治学严谨,没有民族偏见。对于充满美好回忆的童年,对于乐于助人的善良的人,您表达了深切的怀念。</w:t>
      </w:r>
    </w:p>
    <w:p w14:paraId="7BC74308">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面对封建教育方式和封建孝道,您是愤怒的。关于封建教育方式,在《五猖会》中,在您想要去看心心念念的“五猖会”,兴高采烈地准备出发时,您的父亲却突然把您叫住,要求您背完《鉴略》才能去。那时的封建家长们,大多不懂孩子的心理,认为玩耍是无用之事,读书才是正道,常常对孩子采取专制的教育方式。对此，您感到压抑,您是想反抗的。</w:t>
      </w:r>
    </w:p>
    <w:p w14:paraId="700E5041">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关于封建孝道,其中最著名的便是《&lt;二十四孝图〉》。传统的二十四孝故事中,郭巨为了供养自己的母亲,竟然准备埋掉自己年幼的儿子。幸好他在地下挖到了黄金,不然他的儿子就一命呜呼了。郭巨作为父亲,做出如此残忍的行为,反而被视为典型的孝子,真是有悖常理。这个故事让您感到害怕,“才知道‘孝’有如此之难,对于先前痴心妄想,想做孝子的计划,完全绝望了”。面对这害人的封建旧制度，您毅然拿起讽刺的笔,作出最猛烈的抨击。</w:t>
      </w:r>
    </w:p>
    <w:p w14:paraId="0AC7B8BC">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面对故友,您是同情的。您同范爱农在东京初识时产生了误会,觉得他“很可恶”,甚至以为“要革命,首先就必须将范爱农除去”。到辛亥革命前一年,故乡重逢时,笑谈各自经历，便加深了彼此的理解。知道他回乡后,遭轻蔑、排斥、迫害,几乎无处容身,以至“躲在乡下,教着几个小学生糊口”。后来,经过诸多事件,你俩渐成知己，可惜,好友却“景况愈困穷,言辞也愈凄苦”,最后“便在各处飘浮”,在对革命失望的心境中,在夜半刮大风下大雨时终至溺水而死。对热爱祖国、倔强耿直、不随波逐流、不趋炎附势的好友,您表达了深切的缅怀;对当时辛亥革命前后的社会病态,您又表现出了深刻的批判。</w:t>
      </w:r>
    </w:p>
    <w:p w14:paraId="2752D83F">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当然了,您还有很多方面的情感,有对弱小者的同情,有对暴虐者的厌恶,有对庸医的痛恨,有对探求真理的追求,有对打着“公理”“正义”旗号的“正人君子”的嘲讽……其实,这些情感的背后,我发现您坚定地站在了美好、善良的一边。您以平视的角度描绘每一个人物,不论是底层的保姆,还是知识分子,您都给予他们应有的尊重,凡是美好的,您都给予赞扬。您关注底层人民的生活状态,关心他们的命运,对于不公的社会现象,您总是毫不犹豫地站出来为弱者发声,该抨击的就抨击,该批判的就批判。这种人文关怀、理性思考、审视态度不仅体现在您的作品中,更是贯穿于您一生的思想立场。</w:t>
      </w:r>
    </w:p>
    <w:p w14:paraId="62CF3C1B">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总之,在这部书中,您以细腻的笔触,勾画出那些熟悉又遥远的记忆,使读者仿佛置身于那个时代,感受着您成长的足迹与对社会的洞察。</w:t>
      </w:r>
    </w:p>
    <w:p w14:paraId="3E49A372">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最后,我想向您表达我的敬意。《朝花夕拾》不仅是一部回忆录,更是一部充满智慧与情感的人生哲学。您用平实、真挚的语言为我们展现了一个时代的风貌,一个知识分子的思考与担当。您的文字不仅是留给我们的宝贵精神财富,更是对于未来的一种启迪和期望。希望我们在今后的日子里,能够继续传承您的精神,关注社会现实,坚守人文关怀,为国家的发展贡献自己的力量。</w:t>
      </w:r>
    </w:p>
    <w:p w14:paraId="70EDFA45">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0" w:firstLineChars="0"/>
        <w:textAlignment w:val="auto"/>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此致，</w:t>
      </w:r>
    </w:p>
    <w:p w14:paraId="6E55295C">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敬礼!</w:t>
      </w:r>
    </w:p>
    <w:p w14:paraId="12D93358">
      <w:pPr>
        <w:tabs>
          <w:tab w:val="left" w:pos="4320"/>
        </w:tabs>
        <w:snapToGrid w:val="0"/>
        <w:spacing w:line="360" w:lineRule="auto"/>
        <w:ind w:firstLine="420" w:firstLineChars="200"/>
        <w:jc w:val="right"/>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 xml:space="preserve">XXX </w:t>
      </w:r>
    </w:p>
    <w:p w14:paraId="797C8823">
      <w:pPr>
        <w:tabs>
          <w:tab w:val="left" w:pos="4320"/>
        </w:tabs>
        <w:snapToGrid w:val="0"/>
        <w:spacing w:line="360" w:lineRule="auto"/>
        <w:ind w:firstLine="420" w:firstLineChars="200"/>
        <w:jc w:val="right"/>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2024年X月X日</w:t>
      </w:r>
    </w:p>
    <w:p w14:paraId="191B1DFF">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2.最后，请总结一下《朝花夕拾》的艺术特色。</w:t>
      </w:r>
    </w:p>
    <w:p w14:paraId="558C2230">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预设：</w:t>
      </w:r>
    </w:p>
    <w:p w14:paraId="3B998991">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（1）把记叙、描写、抒情和议论有机地融为一体，充满诗情画意。如描写百草园的景致，绘声绘色，令人神往。</w:t>
      </w:r>
    </w:p>
    <w:p w14:paraId="27C2D7A7">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（2）在对往事深情的回忆时，作者无法忘却现实,时不时插入一些“杂文笔法”(即对现实的议论)，显示了鲁迅先生真实而丰富的内心世界。</w:t>
      </w:r>
    </w:p>
    <w:p w14:paraId="57C3242D">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（3）常摄取生活中的小细节，以小见大，写人则写出人物的神韵，写事则写出事件的本质。</w:t>
      </w:r>
    </w:p>
    <w:p w14:paraId="7ACC7434">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（4）批判、讽刺封建旧制度、旧道德时，多用反讽手法，又称“双关”。表面上很冷静地叙述事件的始末,其实是反话正说，在叙述中暗含着“言在此而意在彼”的巧妙讽刺。</w:t>
      </w:r>
    </w:p>
    <w:p w14:paraId="5693E7D0">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5）对比手法的运用。如《五猖会》通过“我”前后心境的对比表达了作者对封建社会的反感与批判；《无常》通过将无常这个“鬼”和现实中的“人”做对比，深刻地刻画出现实生活中某些“人格”不如“鬼格”的人的丑恶面目。</w:t>
      </w:r>
    </w:p>
    <w:p w14:paraId="472BA40B">
      <w:pPr>
        <w:tabs>
          <w:tab w:val="left" w:pos="4320"/>
        </w:tabs>
        <w:snapToGrid w:val="0"/>
        <w:spacing w:line="360" w:lineRule="auto"/>
        <w:ind w:firstLine="420" w:firstLineChars="200"/>
        <w:rPr>
          <w:rFonts w:hint="eastAsia" w:ascii="宋体" w:hAnsi="宋体" w:eastAsia="宋体" w:cs="Times New Roman"/>
          <w:color w:val="000000"/>
          <w:szCs w:val="21"/>
        </w:rPr>
      </w:pPr>
      <w:r>
        <w:rPr>
          <w:rFonts w:hint="eastAsia" w:ascii="黑体" w:hAnsi="黑体" w:eastAsia="黑体" w:cs="黑体"/>
          <w:color w:val="000000"/>
          <w:szCs w:val="21"/>
          <w:lang w:val="en-US" w:eastAsia="zh-CN"/>
        </w:rPr>
        <w:t>三、</w:t>
      </w:r>
      <w:r>
        <w:rPr>
          <w:rFonts w:hint="eastAsia" w:ascii="宋体" w:hAnsi="宋体" w:eastAsia="宋体" w:cs="宋体"/>
          <w:b/>
          <w:bCs/>
          <w:color w:val="000000"/>
          <w:szCs w:val="21"/>
          <w:lang w:val="en-US" w:eastAsia="zh-CN"/>
        </w:rPr>
        <w:t>布置作业</w:t>
      </w:r>
    </w:p>
    <w:p w14:paraId="268ED005">
      <w:pPr>
        <w:tabs>
          <w:tab w:val="left" w:pos="4320"/>
        </w:tabs>
        <w:snapToGrid w:val="0"/>
        <w:spacing w:line="360" w:lineRule="auto"/>
        <w:ind w:firstLine="420" w:firstLineChars="200"/>
        <w:rPr>
          <w:rFonts w:hint="eastAsia" w:ascii="宋体" w:hAnsi="宋体" w:eastAsia="宋体" w:cs="Times New Roman"/>
          <w:b/>
          <w:bCs/>
          <w:color w:val="000000"/>
          <w:szCs w:val="21"/>
        </w:rPr>
      </w:pPr>
      <w:r>
        <w:rPr>
          <w:rFonts w:hint="eastAsia" w:ascii="宋体" w:hAnsi="宋体" w:eastAsia="宋体" w:cs="Times New Roman"/>
          <w:color w:val="000000"/>
          <w:szCs w:val="21"/>
        </w:rPr>
        <w:t>请完成本课《分层作业》。</w:t>
      </w:r>
    </w:p>
    <w:bookmarkEnd w:id="0"/>
    <w:p w14:paraId="6A971C92">
      <w:pPr>
        <w:tabs>
          <w:tab w:val="left" w:pos="4320"/>
        </w:tabs>
        <w:snapToGrid w:val="0"/>
        <w:spacing w:line="360" w:lineRule="auto"/>
        <w:ind w:firstLine="420" w:firstLineChars="200"/>
        <w:jc w:val="center"/>
        <w:rPr>
          <w:rFonts w:hint="eastAsia"/>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1282B6">
    <w:pPr>
      <w:pStyle w:val="4"/>
      <w:pBdr>
        <w:bottom w:val="none" w:color="auto" w:sz="0" w:space="0"/>
      </w:pBdr>
      <w:jc w:val="center"/>
      <w:rPr>
        <w:rFonts w:hint="eastAsia" w:eastAsiaTheme="minorEastAsia"/>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26C89B">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E17FB3">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5E498F">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A93E1A">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EC5A1E">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czOTNkZDM4NzNjZWZiOWUxMmRlZDEzYTJlMzk2NTAifQ=="/>
  </w:docVars>
  <w:rsids>
    <w:rsidRoot w:val="00172A27"/>
    <w:rsid w:val="00012FC2"/>
    <w:rsid w:val="00030B58"/>
    <w:rsid w:val="000C3824"/>
    <w:rsid w:val="000D0A78"/>
    <w:rsid w:val="00143AA9"/>
    <w:rsid w:val="00172A27"/>
    <w:rsid w:val="00266905"/>
    <w:rsid w:val="003B531C"/>
    <w:rsid w:val="003F561A"/>
    <w:rsid w:val="004151FC"/>
    <w:rsid w:val="004406E8"/>
    <w:rsid w:val="004D5F63"/>
    <w:rsid w:val="005861B6"/>
    <w:rsid w:val="005B6051"/>
    <w:rsid w:val="00620A9F"/>
    <w:rsid w:val="006D6B31"/>
    <w:rsid w:val="00735CBE"/>
    <w:rsid w:val="00737B13"/>
    <w:rsid w:val="00BF6B0E"/>
    <w:rsid w:val="00C02FC6"/>
    <w:rsid w:val="00C069E7"/>
    <w:rsid w:val="00C262F5"/>
    <w:rsid w:val="00C60690"/>
    <w:rsid w:val="00DA6A96"/>
    <w:rsid w:val="00DF5F69"/>
    <w:rsid w:val="00E55257"/>
    <w:rsid w:val="00E73841"/>
    <w:rsid w:val="00F13100"/>
    <w:rsid w:val="00FB2830"/>
    <w:rsid w:val="011E7635"/>
    <w:rsid w:val="01443A28"/>
    <w:rsid w:val="022F4F6E"/>
    <w:rsid w:val="024A342F"/>
    <w:rsid w:val="024F5824"/>
    <w:rsid w:val="02BA4EA4"/>
    <w:rsid w:val="02BF77F6"/>
    <w:rsid w:val="030F1F7E"/>
    <w:rsid w:val="03105894"/>
    <w:rsid w:val="03A10FD4"/>
    <w:rsid w:val="03C56D03"/>
    <w:rsid w:val="04090E4E"/>
    <w:rsid w:val="040F1ED1"/>
    <w:rsid w:val="04521743"/>
    <w:rsid w:val="04A077D4"/>
    <w:rsid w:val="054C4671"/>
    <w:rsid w:val="0603469F"/>
    <w:rsid w:val="060356C3"/>
    <w:rsid w:val="071D0B0C"/>
    <w:rsid w:val="072506FA"/>
    <w:rsid w:val="073D4803"/>
    <w:rsid w:val="07493674"/>
    <w:rsid w:val="07BA14B5"/>
    <w:rsid w:val="085407CC"/>
    <w:rsid w:val="08B70410"/>
    <w:rsid w:val="093F51ED"/>
    <w:rsid w:val="094620D8"/>
    <w:rsid w:val="09901307"/>
    <w:rsid w:val="09A523BE"/>
    <w:rsid w:val="0A334D52"/>
    <w:rsid w:val="0A830C70"/>
    <w:rsid w:val="0AA04FB4"/>
    <w:rsid w:val="0B694BBB"/>
    <w:rsid w:val="0B8308F9"/>
    <w:rsid w:val="0B9D4CB5"/>
    <w:rsid w:val="0BBE35C7"/>
    <w:rsid w:val="0BC42E1C"/>
    <w:rsid w:val="0C451536"/>
    <w:rsid w:val="0CCE5330"/>
    <w:rsid w:val="0D092489"/>
    <w:rsid w:val="0D4252AC"/>
    <w:rsid w:val="0E056A05"/>
    <w:rsid w:val="0E5A03D3"/>
    <w:rsid w:val="0E5B6625"/>
    <w:rsid w:val="0E674BA2"/>
    <w:rsid w:val="0EE7589A"/>
    <w:rsid w:val="10121687"/>
    <w:rsid w:val="10146D27"/>
    <w:rsid w:val="109B402A"/>
    <w:rsid w:val="11560F71"/>
    <w:rsid w:val="11707185"/>
    <w:rsid w:val="11F77791"/>
    <w:rsid w:val="12521E00"/>
    <w:rsid w:val="126A37FC"/>
    <w:rsid w:val="12CA3D79"/>
    <w:rsid w:val="13A50343"/>
    <w:rsid w:val="14183E89"/>
    <w:rsid w:val="160D7128"/>
    <w:rsid w:val="1620367F"/>
    <w:rsid w:val="166271AC"/>
    <w:rsid w:val="16A8314F"/>
    <w:rsid w:val="17AA7BF0"/>
    <w:rsid w:val="17B157DC"/>
    <w:rsid w:val="17D23A1E"/>
    <w:rsid w:val="182368AB"/>
    <w:rsid w:val="199F6E23"/>
    <w:rsid w:val="19A448A5"/>
    <w:rsid w:val="19EF59BA"/>
    <w:rsid w:val="19F207E4"/>
    <w:rsid w:val="1A6709DF"/>
    <w:rsid w:val="1AA67EB7"/>
    <w:rsid w:val="1ACC7774"/>
    <w:rsid w:val="1CE1575A"/>
    <w:rsid w:val="1D41732E"/>
    <w:rsid w:val="1E081BFA"/>
    <w:rsid w:val="1E205A0A"/>
    <w:rsid w:val="1F7E0F44"/>
    <w:rsid w:val="1FCC1887"/>
    <w:rsid w:val="1FE13D1F"/>
    <w:rsid w:val="200036A4"/>
    <w:rsid w:val="204A7721"/>
    <w:rsid w:val="206D72CF"/>
    <w:rsid w:val="21132D8F"/>
    <w:rsid w:val="2191104E"/>
    <w:rsid w:val="21C6264E"/>
    <w:rsid w:val="21E02927"/>
    <w:rsid w:val="22077EAB"/>
    <w:rsid w:val="22F57EAF"/>
    <w:rsid w:val="23454050"/>
    <w:rsid w:val="237768FD"/>
    <w:rsid w:val="23CC192B"/>
    <w:rsid w:val="23E80503"/>
    <w:rsid w:val="251C7334"/>
    <w:rsid w:val="253A197B"/>
    <w:rsid w:val="253B7EF0"/>
    <w:rsid w:val="25407ECB"/>
    <w:rsid w:val="25A6683E"/>
    <w:rsid w:val="25B85CB3"/>
    <w:rsid w:val="25FB54E6"/>
    <w:rsid w:val="266E3D58"/>
    <w:rsid w:val="2810618F"/>
    <w:rsid w:val="2857710D"/>
    <w:rsid w:val="28932D88"/>
    <w:rsid w:val="289C363E"/>
    <w:rsid w:val="28A41481"/>
    <w:rsid w:val="28E65FFE"/>
    <w:rsid w:val="29096E2B"/>
    <w:rsid w:val="293E5CF6"/>
    <w:rsid w:val="29811B9D"/>
    <w:rsid w:val="29EE33B1"/>
    <w:rsid w:val="2A9767A3"/>
    <w:rsid w:val="2AA91D98"/>
    <w:rsid w:val="2AB4113F"/>
    <w:rsid w:val="2AB70C30"/>
    <w:rsid w:val="2ADD0BB2"/>
    <w:rsid w:val="2B16005C"/>
    <w:rsid w:val="2B235846"/>
    <w:rsid w:val="2B47078A"/>
    <w:rsid w:val="2B5328C8"/>
    <w:rsid w:val="2B682A08"/>
    <w:rsid w:val="2BD001FB"/>
    <w:rsid w:val="2C0F4218"/>
    <w:rsid w:val="2C4829BD"/>
    <w:rsid w:val="2C5030EA"/>
    <w:rsid w:val="2C8C11DD"/>
    <w:rsid w:val="2E214C99"/>
    <w:rsid w:val="2E6B512D"/>
    <w:rsid w:val="2F220469"/>
    <w:rsid w:val="2F2A2F8A"/>
    <w:rsid w:val="2F6714F2"/>
    <w:rsid w:val="3025488D"/>
    <w:rsid w:val="30954103"/>
    <w:rsid w:val="30DA1C73"/>
    <w:rsid w:val="318F4594"/>
    <w:rsid w:val="324B1359"/>
    <w:rsid w:val="32B97039"/>
    <w:rsid w:val="33D22C2B"/>
    <w:rsid w:val="340B51F1"/>
    <w:rsid w:val="34DB19BE"/>
    <w:rsid w:val="35861145"/>
    <w:rsid w:val="35935C52"/>
    <w:rsid w:val="366559E4"/>
    <w:rsid w:val="36CA6D73"/>
    <w:rsid w:val="36FC3286"/>
    <w:rsid w:val="37B65A46"/>
    <w:rsid w:val="37F35313"/>
    <w:rsid w:val="385430CC"/>
    <w:rsid w:val="38585147"/>
    <w:rsid w:val="390E5E67"/>
    <w:rsid w:val="39CB1E5C"/>
    <w:rsid w:val="39F74215"/>
    <w:rsid w:val="3A3066E4"/>
    <w:rsid w:val="3A412A1F"/>
    <w:rsid w:val="3B3356D3"/>
    <w:rsid w:val="3B8D375D"/>
    <w:rsid w:val="3B8E2DB2"/>
    <w:rsid w:val="3CAB036C"/>
    <w:rsid w:val="3CFC5CFD"/>
    <w:rsid w:val="3EAA6689"/>
    <w:rsid w:val="3EB510FB"/>
    <w:rsid w:val="3FC574F3"/>
    <w:rsid w:val="409243BE"/>
    <w:rsid w:val="409361DE"/>
    <w:rsid w:val="4184316F"/>
    <w:rsid w:val="421B3E90"/>
    <w:rsid w:val="426E79CE"/>
    <w:rsid w:val="429A28DC"/>
    <w:rsid w:val="42AA1C41"/>
    <w:rsid w:val="433F7E95"/>
    <w:rsid w:val="434661BF"/>
    <w:rsid w:val="43884ABF"/>
    <w:rsid w:val="441260D8"/>
    <w:rsid w:val="44A8366B"/>
    <w:rsid w:val="452E0BB6"/>
    <w:rsid w:val="45E81FF5"/>
    <w:rsid w:val="45EF4D65"/>
    <w:rsid w:val="46DC584E"/>
    <w:rsid w:val="47064475"/>
    <w:rsid w:val="475060AF"/>
    <w:rsid w:val="475A49C5"/>
    <w:rsid w:val="48622479"/>
    <w:rsid w:val="48FB5D34"/>
    <w:rsid w:val="493D595C"/>
    <w:rsid w:val="49F77418"/>
    <w:rsid w:val="4A181876"/>
    <w:rsid w:val="4A7C355C"/>
    <w:rsid w:val="4B0752CD"/>
    <w:rsid w:val="4B700C40"/>
    <w:rsid w:val="4B8D3156"/>
    <w:rsid w:val="4C105824"/>
    <w:rsid w:val="4E835BA2"/>
    <w:rsid w:val="4F1D1146"/>
    <w:rsid w:val="4F6768F9"/>
    <w:rsid w:val="4FBA24A4"/>
    <w:rsid w:val="4FEE214E"/>
    <w:rsid w:val="4FFE77E4"/>
    <w:rsid w:val="50415697"/>
    <w:rsid w:val="50507BB0"/>
    <w:rsid w:val="50AA0EC9"/>
    <w:rsid w:val="50D71373"/>
    <w:rsid w:val="510734C7"/>
    <w:rsid w:val="513A3AA6"/>
    <w:rsid w:val="51891A7C"/>
    <w:rsid w:val="52B82624"/>
    <w:rsid w:val="52CB49C9"/>
    <w:rsid w:val="53B337F3"/>
    <w:rsid w:val="54CC6C29"/>
    <w:rsid w:val="557C43C4"/>
    <w:rsid w:val="562527F8"/>
    <w:rsid w:val="56893B64"/>
    <w:rsid w:val="56D30863"/>
    <w:rsid w:val="56F740DC"/>
    <w:rsid w:val="578C2978"/>
    <w:rsid w:val="57D84D0F"/>
    <w:rsid w:val="58501BF8"/>
    <w:rsid w:val="58EC0A5F"/>
    <w:rsid w:val="59CA000B"/>
    <w:rsid w:val="5A252481"/>
    <w:rsid w:val="5C332E6D"/>
    <w:rsid w:val="5C4B4CF8"/>
    <w:rsid w:val="5C6760BF"/>
    <w:rsid w:val="5CA83B98"/>
    <w:rsid w:val="5CF16BE4"/>
    <w:rsid w:val="5E343D6A"/>
    <w:rsid w:val="5E4823F5"/>
    <w:rsid w:val="5E9D4F9B"/>
    <w:rsid w:val="5FC60AF2"/>
    <w:rsid w:val="602573A9"/>
    <w:rsid w:val="60676BE3"/>
    <w:rsid w:val="60690D23"/>
    <w:rsid w:val="60B30F76"/>
    <w:rsid w:val="615A3CBB"/>
    <w:rsid w:val="61CF56B7"/>
    <w:rsid w:val="632251C4"/>
    <w:rsid w:val="66E4125A"/>
    <w:rsid w:val="672A3F31"/>
    <w:rsid w:val="673957D1"/>
    <w:rsid w:val="67482E77"/>
    <w:rsid w:val="67901DE5"/>
    <w:rsid w:val="67976F80"/>
    <w:rsid w:val="68441504"/>
    <w:rsid w:val="68AE4C06"/>
    <w:rsid w:val="69C26788"/>
    <w:rsid w:val="69E63140"/>
    <w:rsid w:val="6ADF0B63"/>
    <w:rsid w:val="6C6857D1"/>
    <w:rsid w:val="6CBE6CDC"/>
    <w:rsid w:val="6D325918"/>
    <w:rsid w:val="6D413EF5"/>
    <w:rsid w:val="6D6D53AD"/>
    <w:rsid w:val="6DA47E46"/>
    <w:rsid w:val="6DF55653"/>
    <w:rsid w:val="6E0E0DEF"/>
    <w:rsid w:val="6E960D5F"/>
    <w:rsid w:val="6ECA4467"/>
    <w:rsid w:val="6EEC100C"/>
    <w:rsid w:val="6F694B09"/>
    <w:rsid w:val="7010770F"/>
    <w:rsid w:val="70294762"/>
    <w:rsid w:val="709654EB"/>
    <w:rsid w:val="70C62CED"/>
    <w:rsid w:val="70F704C1"/>
    <w:rsid w:val="71353360"/>
    <w:rsid w:val="719B3FB2"/>
    <w:rsid w:val="71A069B1"/>
    <w:rsid w:val="71AA0501"/>
    <w:rsid w:val="7295497F"/>
    <w:rsid w:val="73135419"/>
    <w:rsid w:val="739531F2"/>
    <w:rsid w:val="73BD6C1A"/>
    <w:rsid w:val="75405343"/>
    <w:rsid w:val="759D7ECF"/>
    <w:rsid w:val="765A01AF"/>
    <w:rsid w:val="76D442CA"/>
    <w:rsid w:val="76EB5674"/>
    <w:rsid w:val="78AB0A2D"/>
    <w:rsid w:val="78B120BD"/>
    <w:rsid w:val="79856256"/>
    <w:rsid w:val="7A1A1C0E"/>
    <w:rsid w:val="7A2F5734"/>
    <w:rsid w:val="7ADB0244"/>
    <w:rsid w:val="7B39441D"/>
    <w:rsid w:val="7B5C5360"/>
    <w:rsid w:val="7B7159C1"/>
    <w:rsid w:val="7B825CBD"/>
    <w:rsid w:val="7C1B6455"/>
    <w:rsid w:val="7C3F7121"/>
    <w:rsid w:val="7D187BD8"/>
    <w:rsid w:val="7DB31FA0"/>
    <w:rsid w:val="7DE31DEC"/>
    <w:rsid w:val="7E236C23"/>
    <w:rsid w:val="7E344D06"/>
    <w:rsid w:val="7E9A4216"/>
    <w:rsid w:val="7EC26EF1"/>
    <w:rsid w:val="7F1865E7"/>
    <w:rsid w:val="7F8411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Balloon Text"/>
    <w:basedOn w:val="1"/>
    <w:link w:val="12"/>
    <w:autoRedefine/>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8">
    <w:name w:val="Table Grid"/>
    <w:basedOn w:val="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Char"/>
    <w:basedOn w:val="9"/>
    <w:link w:val="5"/>
    <w:autoRedefine/>
    <w:qFormat/>
    <w:uiPriority w:val="99"/>
    <w:rPr>
      <w:sz w:val="18"/>
      <w:szCs w:val="18"/>
    </w:rPr>
  </w:style>
  <w:style w:type="character" w:customStyle="1" w:styleId="11">
    <w:name w:val="页脚 Char"/>
    <w:basedOn w:val="9"/>
    <w:link w:val="4"/>
    <w:qFormat/>
    <w:uiPriority w:val="99"/>
    <w:rPr>
      <w:sz w:val="18"/>
      <w:szCs w:val="18"/>
    </w:rPr>
  </w:style>
  <w:style w:type="character" w:customStyle="1" w:styleId="12">
    <w:name w:val="批注框文本 Char"/>
    <w:basedOn w:val="9"/>
    <w:link w:val="3"/>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jpeg"/><Relationship Id="rId15" Type="http://schemas.openxmlformats.org/officeDocument/2006/relationships/image" Target="media/image6.png"/><Relationship Id="rId14" Type="http://schemas.openxmlformats.org/officeDocument/2006/relationships/image" Target="media/image5.jpe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1910</Words>
  <Characters>1935</Characters>
  <Lines>48</Lines>
  <Paragraphs>13</Paragraphs>
  <TotalTime>60</TotalTime>
  <ScaleCrop>false</ScaleCrop>
  <LinksUpToDate>false</LinksUpToDate>
  <CharactersWithSpaces>2149</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2022-07-14T00:56:00Z</dcterms:created>
  <dc:creator>文小语</dc:creator>
  <cp:lastModifiedBy>上帝掷骰子吗</cp:lastModifiedBy>
  <dcterms:modified xsi:type="dcterms:W3CDTF">2025-08-06T09:52:42Z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2052-12.1.0.22215</vt:lpwstr>
  </property>
  <property fmtid="{D5CDD505-2E9C-101B-9397-08002B2CF9AE}" pid="7" name="ICV">
    <vt:lpwstr>541EB6B463DB4D04952CB3D47CA058BD_12</vt:lpwstr>
  </property>
  <property fmtid="{D5CDD505-2E9C-101B-9397-08002B2CF9AE}" pid="8" name="KSOTemplateDocerSaveRecord">
    <vt:lpwstr>eyJoZGlkIjoiMTdiNDU1YTY5MzAxYTM3YjA5ZWRjZDgyNDZiYzc2OWEiLCJ1c2VySWQiOiI3ODUwOTA2ODcifQ==</vt:lpwstr>
  </property>
</Properties>
</file>