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77E96">
      <w:pPr>
        <w:pStyle w:val="2"/>
      </w:pPr>
      <w:r>
        <w:rPr>
          <w:rFonts w:ascii="Times New Roman" w:hAnsi="Times New Roman" w:cs="Times New Roman"/>
        </w:rPr>
        <w:t>10　岳阳楼记</w:t>
      </w:r>
    </w:p>
    <w:p w14:paraId="0989068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45" name="图片 745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" name="图片 745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DC9FF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1．有感情地朗读课文，把握重音及节奏并背诵全文。</w:t>
      </w:r>
    </w:p>
    <w:p w14:paraId="2DE8164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2．赏析精练、生动的语言及精彩语段。</w:t>
      </w:r>
    </w:p>
    <w:p w14:paraId="2B68166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3．学习文章将叙事、写景、抒情和议论巧妙结合的写法。</w:t>
      </w:r>
    </w:p>
    <w:p w14:paraId="7AFE76D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4．深刻理解和正确评价范仲淹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先天下之</w:t>
      </w:r>
      <w:r>
        <w:rPr>
          <w:rFonts w:hint="eastAsia" w:ascii="Times New Roman" w:hAnsi="Times New Roman" w:cs="Times New Roman"/>
        </w:rPr>
        <w:t>忧而忧，后天下之乐而乐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的生活理想和政治抱负，树立正确的人生观。</w:t>
      </w:r>
    </w:p>
    <w:p w14:paraId="7B2A66CE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46" name="图片 746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" name="图片 746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A7525C">
      <w:pPr>
        <w:pStyle w:val="3"/>
      </w:pPr>
      <w:r>
        <w:t>第1课时</w:t>
      </w:r>
    </w:p>
    <w:p w14:paraId="54541E3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67009D4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封建时代许多有志的文人士大夫都把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穷则独善其身，达则兼济天下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当作自己的人生信条。他们为官时积极从政，力主改革，为官一方，造福百姓；被贬时，则寄情山水，独善其身。苏轼、柳宗元、范仲淹都是其中的代表。特别是范仲淹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不以物喜，不以己悲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先天下之忧而忧，后天下之乐而乐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，更是</w:t>
      </w:r>
      <w:r>
        <w:rPr>
          <w:rFonts w:hint="eastAsia" w:ascii="Times New Roman" w:hAnsi="Times New Roman" w:cs="Times New Roman"/>
        </w:rPr>
        <w:t>表现出了阔大的胸怀和远大的抱负，成为天下人的楷模。今天我们就来学习他的名篇《岳阳楼记》。</w:t>
      </w:r>
    </w:p>
    <w:p w14:paraId="27732F3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4C9F5A9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目标导学一：认识作者，了解写作背景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327F1DE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《岳阳楼记》选自《范仲淹全集》，作者范仲淹(989—1052)，字希文，北宋政治家、文学家。他出身贫寒，幼年丧父，对下层人民的痛苦感受极深。26岁登进士第，因敢于直言强谏，屡遭贬斥，久不被重用。宝元三年，任陕西经略安抚招讨副</w:t>
      </w:r>
      <w:r>
        <w:rPr>
          <w:rFonts w:hint="eastAsia" w:ascii="Times New Roman" w:hAnsi="Times New Roman" w:eastAsia="楷体_GB2312" w:cs="Times New Roman"/>
        </w:rPr>
        <w:t>使，加强对西夏的防御，屡立战功。庆历三年，西夏请和，范仲淹还朝，任参知政事。曾提出十条改革措施，包括限制以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恩荫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为官、选用干练的人员、严格执行政令等，又主张兴修水利。因遭保守派反对罢政，于庆历五年贬放邓州，之后还做过杭州、青州的太守。后在赴颍州任途中病死。谥号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文正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，世称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范文正公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，有《范文正公集》传世。</w:t>
      </w:r>
    </w:p>
    <w:p w14:paraId="571C4A8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写作背景：</w:t>
      </w:r>
      <w:r>
        <w:rPr>
          <w:rFonts w:ascii="Times New Roman" w:hAnsi="Times New Roman" w:eastAsia="楷体_GB2312" w:cs="Times New Roman"/>
        </w:rPr>
        <w:t>《岳阳楼记》是范仲淹被罢去参知政事一职而贬官河南邓州时，应好友滕子京之请而作。滕子京请范仲淹为重修岳阳楼写记，并送去一幅《洞庭晚秋图》。范仲</w:t>
      </w:r>
      <w:r>
        <w:rPr>
          <w:rFonts w:hint="eastAsia" w:ascii="Times New Roman" w:hAnsi="Times New Roman" w:eastAsia="楷体_GB2312" w:cs="Times New Roman"/>
        </w:rPr>
        <w:t>淹依据此图，凭着丰富的想象，写下了千古名篇《岳阳楼记》。滕子京与范仲淹同年举进士，因才华出众但豪迈自负，被权贵所嫉，贬谪到岳州做太守。范仲淹熟知他的思想和性格，想劝慰他，却一直无机会。适逢滕子京重修岳阳楼，请范仲淹代笔记胜，这就给了范仲淹一个规箴知己的好机会，因自己在贬中，亦有抒发自己理想的需要，于是范仲淹就写下了这篇抒发自己胸襟、规劝朋友的千古名篇。</w:t>
      </w:r>
    </w:p>
    <w:p w14:paraId="7E23CDD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岳阳楼：</w:t>
      </w:r>
      <w:r>
        <w:rPr>
          <w:rFonts w:ascii="Times New Roman" w:hAnsi="Times New Roman" w:eastAsia="楷体_GB2312" w:cs="Times New Roman"/>
        </w:rPr>
        <w:t>在湖南省岳阳市巴丘山下，原来是三国时期吴国都督鲁肃的阅兵台。唐朝张说在阅兵台旧址建造楼阁，取名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岳阳楼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，常</w:t>
      </w:r>
      <w:r>
        <w:rPr>
          <w:rFonts w:hint="eastAsia" w:ascii="Times New Roman" w:hAnsi="Times New Roman" w:eastAsia="楷体_GB2312" w:cs="Times New Roman"/>
        </w:rPr>
        <w:t>与文人雅客登楼赋诗。后李白、杜甫、白居易、李商隐、刘禹锡、孟浩然等诗人相继登楼吟咏，岳阳楼声名益大。</w:t>
      </w:r>
    </w:p>
    <w:p w14:paraId="084841F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目标导学二：梳理文言字词，疏通文义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3AA5B4A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1．请根据课文注释疏通文义。</w:t>
      </w:r>
    </w:p>
    <w:p w14:paraId="57FE2E4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2．积累文章中常见的文言现象。</w:t>
      </w:r>
    </w:p>
    <w:p w14:paraId="4329B7B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【一词多义】</w:t>
      </w:r>
    </w:p>
    <w:p w14:paraId="5EDAF2C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(1)和：政通人</w:t>
      </w:r>
      <w:r>
        <w:rPr>
          <w:rFonts w:ascii="Times New Roman" w:hAnsi="Times New Roman" w:cs="Times New Roman"/>
          <w:em w:val="underDot"/>
        </w:rPr>
        <w:t>和</w:t>
      </w:r>
      <w:r>
        <w:rPr>
          <w:rFonts w:ascii="Times New Roman" w:hAnsi="Times New Roman" w:cs="Times New Roman"/>
        </w:rPr>
        <w:t>(和乐)　　　至若春</w:t>
      </w:r>
      <w:r>
        <w:rPr>
          <w:rFonts w:ascii="Times New Roman" w:hAnsi="Times New Roman" w:cs="Times New Roman"/>
          <w:em w:val="underDot"/>
        </w:rPr>
        <w:t>和</w:t>
      </w:r>
      <w:r>
        <w:rPr>
          <w:rFonts w:ascii="Times New Roman" w:hAnsi="Times New Roman" w:cs="Times New Roman"/>
        </w:rPr>
        <w:t>景明(和煦)</w:t>
      </w:r>
    </w:p>
    <w:p w14:paraId="1A5FE5B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(2)通：政</w:t>
      </w:r>
      <w:r>
        <w:rPr>
          <w:rFonts w:ascii="Times New Roman" w:hAnsi="Times New Roman" w:cs="Times New Roman"/>
          <w:em w:val="underDot"/>
        </w:rPr>
        <w:t>通</w:t>
      </w:r>
      <w:r>
        <w:rPr>
          <w:rFonts w:ascii="Times New Roman" w:hAnsi="Times New Roman" w:cs="Times New Roman"/>
        </w:rPr>
        <w:t>人和(顺利)  北</w:t>
      </w:r>
      <w:r>
        <w:rPr>
          <w:rFonts w:ascii="Times New Roman" w:hAnsi="Times New Roman" w:cs="Times New Roman"/>
          <w:em w:val="underDot"/>
        </w:rPr>
        <w:t>通</w:t>
      </w:r>
      <w:r>
        <w:rPr>
          <w:rFonts w:ascii="Times New Roman" w:hAnsi="Times New Roman" w:cs="Times New Roman"/>
        </w:rPr>
        <w:t>巫峡(通向)</w:t>
      </w:r>
    </w:p>
    <w:p w14:paraId="55E8AEA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(3)观：予</w:t>
      </w:r>
      <w:r>
        <w:rPr>
          <w:rFonts w:ascii="Times New Roman" w:hAnsi="Times New Roman" w:cs="Times New Roman"/>
          <w:em w:val="underDot"/>
        </w:rPr>
        <w:t>观</w:t>
      </w:r>
      <w:r>
        <w:rPr>
          <w:rFonts w:ascii="Times New Roman" w:hAnsi="Times New Roman" w:cs="Times New Roman"/>
        </w:rPr>
        <w:t>夫巴陵胜状(看)</w:t>
      </w:r>
    </w:p>
    <w:p w14:paraId="74083F3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此则岳阳楼之大</w:t>
      </w:r>
      <w:r>
        <w:rPr>
          <w:rFonts w:ascii="Times New Roman" w:hAnsi="Times New Roman" w:cs="Times New Roman"/>
          <w:em w:val="underDot"/>
        </w:rPr>
        <w:t>观</w:t>
      </w:r>
      <w:r>
        <w:rPr>
          <w:rFonts w:ascii="Times New Roman" w:hAnsi="Times New Roman" w:cs="Times New Roman"/>
        </w:rPr>
        <w:t>也(景象)</w:t>
      </w:r>
    </w:p>
    <w:p w14:paraId="145BC04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(4)空：浊浪排</w:t>
      </w:r>
      <w:r>
        <w:rPr>
          <w:rFonts w:ascii="Times New Roman" w:hAnsi="Times New Roman" w:cs="Times New Roman"/>
          <w:em w:val="underDot"/>
        </w:rPr>
        <w:t>空</w:t>
      </w:r>
      <w:r>
        <w:rPr>
          <w:rFonts w:ascii="Times New Roman" w:hAnsi="Times New Roman" w:cs="Times New Roman"/>
        </w:rPr>
        <w:t>(天空)  长烟一</w:t>
      </w:r>
      <w:r>
        <w:rPr>
          <w:rFonts w:ascii="Times New Roman" w:hAnsi="Times New Roman" w:cs="Times New Roman"/>
          <w:em w:val="underDot"/>
        </w:rPr>
        <w:t>空</w:t>
      </w:r>
      <w:r>
        <w:rPr>
          <w:rFonts w:ascii="Times New Roman" w:hAnsi="Times New Roman" w:cs="Times New Roman"/>
        </w:rPr>
        <w:t>(消散)</w:t>
      </w:r>
    </w:p>
    <w:p w14:paraId="6B329F2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(5)一：</w:t>
      </w:r>
      <w:r>
        <w:rPr>
          <w:rFonts w:ascii="Times New Roman" w:hAnsi="Times New Roman" w:cs="Times New Roman"/>
          <w:em w:val="underDot"/>
        </w:rPr>
        <w:t>一</w:t>
      </w:r>
      <w:r>
        <w:rPr>
          <w:rFonts w:ascii="Times New Roman" w:hAnsi="Times New Roman" w:cs="Times New Roman"/>
        </w:rPr>
        <w:t>碧万顷(数词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  长烟</w:t>
      </w:r>
      <w:r>
        <w:rPr>
          <w:rFonts w:ascii="Times New Roman" w:hAnsi="Times New Roman" w:cs="Times New Roman"/>
          <w:em w:val="underDot"/>
        </w:rPr>
        <w:t>一</w:t>
      </w:r>
      <w:r>
        <w:rPr>
          <w:rFonts w:ascii="Times New Roman" w:hAnsi="Times New Roman" w:cs="Times New Roman"/>
        </w:rPr>
        <w:t>空(全)</w:t>
      </w:r>
    </w:p>
    <w:p w14:paraId="6EA2C3B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(6)极：南</w:t>
      </w:r>
      <w:r>
        <w:rPr>
          <w:rFonts w:ascii="Times New Roman" w:hAnsi="Times New Roman" w:cs="Times New Roman"/>
          <w:em w:val="underDot"/>
        </w:rPr>
        <w:t>极</w:t>
      </w:r>
      <w:r>
        <w:rPr>
          <w:rFonts w:ascii="Times New Roman" w:hAnsi="Times New Roman" w:cs="Times New Roman"/>
        </w:rPr>
        <w:t>潇湘(至、到达)</w:t>
      </w:r>
    </w:p>
    <w:p w14:paraId="5B232C3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此乐何</w:t>
      </w:r>
      <w:r>
        <w:rPr>
          <w:rFonts w:ascii="Times New Roman" w:hAnsi="Times New Roman" w:cs="Times New Roman"/>
          <w:em w:val="underDot"/>
        </w:rPr>
        <w:t>极</w:t>
      </w:r>
      <w:r>
        <w:rPr>
          <w:rFonts w:ascii="Times New Roman" w:hAnsi="Times New Roman" w:cs="Times New Roman"/>
        </w:rPr>
        <w:t>(尽头)</w:t>
      </w:r>
    </w:p>
    <w:p w14:paraId="1552F00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(7)以：属予作文</w:t>
      </w: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记之(来)</w:t>
      </w:r>
    </w:p>
    <w:p w14:paraId="635223F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不</w:t>
      </w:r>
      <w:r>
        <w:rPr>
          <w:rFonts w:ascii="Times New Roman" w:hAnsi="Times New Roman" w:cs="Times New Roman"/>
          <w:em w:val="underDot"/>
        </w:rPr>
        <w:t>以</w:t>
      </w:r>
      <w:r>
        <w:rPr>
          <w:rFonts w:ascii="Times New Roman" w:hAnsi="Times New Roman" w:cs="Times New Roman"/>
        </w:rPr>
        <w:t>物喜，不以己悲(因为)</w:t>
      </w:r>
    </w:p>
    <w:p w14:paraId="43C0682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(8)或：而</w:t>
      </w:r>
      <w:r>
        <w:rPr>
          <w:rFonts w:ascii="Times New Roman" w:hAnsi="Times New Roman" w:cs="Times New Roman"/>
          <w:em w:val="underDot"/>
        </w:rPr>
        <w:t>或</w:t>
      </w:r>
      <w:r>
        <w:rPr>
          <w:rFonts w:ascii="Times New Roman" w:hAnsi="Times New Roman" w:cs="Times New Roman"/>
        </w:rPr>
        <w:t>长烟一空(有时候)</w:t>
      </w:r>
    </w:p>
    <w:p w14:paraId="77BC3DE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em w:val="underDot"/>
        </w:rPr>
        <w:t>或</w:t>
      </w:r>
      <w:r>
        <w:rPr>
          <w:rFonts w:ascii="Times New Roman" w:hAnsi="Times New Roman" w:cs="Times New Roman"/>
        </w:rPr>
        <w:t>异二者之为(或许、也许，表示委婉的语气)</w:t>
      </w:r>
    </w:p>
    <w:p w14:paraId="4ACEBA1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【通假字】</w:t>
      </w:r>
    </w:p>
    <w:p w14:paraId="1AB4CF2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(1)百废</w:t>
      </w:r>
      <w:r>
        <w:rPr>
          <w:rFonts w:ascii="Times New Roman" w:hAnsi="Times New Roman" w:cs="Times New Roman"/>
          <w:em w:val="underDot"/>
        </w:rPr>
        <w:t>具</w:t>
      </w:r>
      <w:r>
        <w:rPr>
          <w:rFonts w:ascii="Times New Roman" w:hAnsi="Times New Roman" w:cs="Times New Roman"/>
        </w:rPr>
        <w:t>兴(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，全、皆)</w:t>
      </w:r>
    </w:p>
    <w:p w14:paraId="3D071EF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em w:val="underDot"/>
        </w:rPr>
        <w:t>属</w:t>
      </w:r>
      <w:r>
        <w:rPr>
          <w:rFonts w:ascii="Times New Roman" w:hAnsi="Times New Roman" w:cs="Times New Roman"/>
        </w:rPr>
        <w:t>予作文以记之(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，嘱咐)</w:t>
      </w:r>
    </w:p>
    <w:p w14:paraId="220C006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【词类活用】</w:t>
      </w:r>
    </w:p>
    <w:p w14:paraId="5DD906A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(1)庆历四年春，滕子京谪</w:t>
      </w:r>
      <w:r>
        <w:rPr>
          <w:rFonts w:ascii="Times New Roman" w:hAnsi="Times New Roman" w:cs="Times New Roman"/>
          <w:em w:val="underDot"/>
        </w:rPr>
        <w:t>守</w:t>
      </w:r>
      <w:r>
        <w:rPr>
          <w:rFonts w:ascii="Times New Roman" w:hAnsi="Times New Roman" w:cs="Times New Roman"/>
        </w:rPr>
        <w:t>巴陵郡(守：名词作动词，做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太守)</w:t>
      </w:r>
    </w:p>
    <w:p w14:paraId="71EF45E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em w:val="underDot"/>
        </w:rPr>
        <w:t>先</w:t>
      </w:r>
      <w:r>
        <w:rPr>
          <w:rFonts w:ascii="Times New Roman" w:hAnsi="Times New Roman" w:cs="Times New Roman"/>
        </w:rPr>
        <w:t>天下之忧而忧，</w:t>
      </w:r>
      <w:r>
        <w:rPr>
          <w:rFonts w:ascii="Times New Roman" w:hAnsi="Times New Roman" w:cs="Times New Roman"/>
          <w:em w:val="underDot"/>
        </w:rPr>
        <w:t>后</w:t>
      </w:r>
      <w:r>
        <w:rPr>
          <w:rFonts w:ascii="Times New Roman" w:hAnsi="Times New Roman" w:cs="Times New Roman"/>
        </w:rPr>
        <w:t>天下之乐而乐(先</w:t>
      </w:r>
      <w:r>
        <w:rPr>
          <w:rFonts w:hint="eastAsia" w:ascii="Times New Roman" w:hAnsi="Times New Roman" w:cs="Times New Roman"/>
        </w:rPr>
        <w:t>：形容词作状语，在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之前。后：形容词作状语，在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之后)</w:t>
      </w:r>
    </w:p>
    <w:p w14:paraId="0F3F4FF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【古今异义】</w:t>
      </w:r>
    </w:p>
    <w:p w14:paraId="6391A9C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em w:val="underDot"/>
        </w:rPr>
        <w:t>气象</w:t>
      </w:r>
      <w:r>
        <w:rPr>
          <w:rFonts w:ascii="Times New Roman" w:hAnsi="Times New Roman" w:cs="Times New Roman"/>
        </w:rPr>
        <w:t>万千(古义：景象。今义：大气的状态和现象)</w:t>
      </w:r>
    </w:p>
    <w:p w14:paraId="2B1E0E8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em w:val="underDot"/>
        </w:rPr>
        <w:t>微</w:t>
      </w:r>
      <w:r>
        <w:rPr>
          <w:rFonts w:ascii="Times New Roman" w:hAnsi="Times New Roman" w:cs="Times New Roman"/>
        </w:rPr>
        <w:t>斯人(古义：如果没有。今义：细小)</w:t>
      </w:r>
    </w:p>
    <w:p w14:paraId="2884D4E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【特殊句式】</w:t>
      </w:r>
    </w:p>
    <w:p w14:paraId="42C3D0D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(1)刻唐贤今人诗赋于其上。(状语后置)</w:t>
      </w:r>
    </w:p>
    <w:p w14:paraId="3546A63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(2)衔远山，吞长江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(省略句)</w:t>
      </w:r>
    </w:p>
    <w:p w14:paraId="22C0151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(3)迁客骚人，多会于此。(状语后置)</w:t>
      </w:r>
    </w:p>
    <w:p w14:paraId="7E04A6B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(4)居庙堂之高则忧其民，处江湖之远则忧其君。(定语后置)</w:t>
      </w:r>
    </w:p>
    <w:p w14:paraId="2A83185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(5)吾谁与归？(宾语前置)</w:t>
      </w:r>
    </w:p>
    <w:p w14:paraId="6725DB2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目标导学三：朗读课文，整体感知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2B13E63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1．朗读课文，尝试划分朗读节奏。</w:t>
      </w:r>
    </w:p>
    <w:p w14:paraId="3FD7694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以第二段为例，标示节奏：</w:t>
      </w:r>
    </w:p>
    <w:p w14:paraId="325B675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予/观夫/巴陵胜状，在/洞庭一湖。衔/远山，吞/长江，浩浩汤汤，横无际涯，朝晖夕阴，气象万千，此/则岳阳楼之大观也，前人之述/备矣。然则/北通巫峡，南极潇湘，迁客骚人，多会于此，览物之情，得无/异乎？</w:t>
      </w:r>
    </w:p>
    <w:p w14:paraId="3F04CAF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074AF36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概述文言文节奏划分：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句首发语词、关联词语后面要有停顿。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文言文中连在一起的两个单音节词，朗读时须停顿分开。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主语和谓语之间应停顿，动词与所带宾语、补语之间应停顿。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朗读停顿要体现出省略成分。总之，要正确划分朗读节奏，就必须以准确理解文句的意思为前提，再根据朗读停顿的规律综合分析判断。</w:t>
      </w:r>
    </w:p>
    <w:p w14:paraId="6C395E0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2．书读百遍，其义自见，反复有感情地朗读文章，以达到理解文意的目的。</w:t>
      </w:r>
    </w:p>
    <w:p w14:paraId="2F38F8F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3．整体感知，划分文章结构。</w:t>
      </w:r>
    </w:p>
    <w:p w14:paraId="2513A79D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全文共5段，分为</w:t>
      </w:r>
      <w:r>
        <w:rPr>
          <w:rFonts w:hint="eastAsia" w:ascii="Times New Roman" w:hAnsi="Times New Roman" w:eastAsia="楷体_GB2312" w:cs="Times New Roman"/>
        </w:rPr>
        <w:t>三部分。</w:t>
      </w:r>
    </w:p>
    <w:p w14:paraId="5EA0BFBD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楷体_GB2312" w:cs="Times New Roman"/>
        </w:rPr>
        <w:t>第一部分(</w:t>
      </w:r>
      <w:r>
        <w:rPr>
          <w:rFonts w:ascii="Times New Roman" w:hAnsi="Times New Roman" w:eastAsia="楷体_GB2312" w:cs="Times New Roman"/>
        </w:rPr>
        <w:t>1)：写重修岳阳楼的背景和作记缘由。</w:t>
      </w:r>
    </w:p>
    <w:p w14:paraId="3BD0B690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第二部分(2—4)：描写岳阳楼周围的景色，引出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迁客骚人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登楼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览物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而产生的两种不同感受。该部分可分为两层：</w:t>
      </w:r>
    </w:p>
    <w:p w14:paraId="790D64BA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第一层(2)：写洞庭湖的景色并提出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迁客骚人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览物之情，得无异乎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的问题。</w:t>
      </w:r>
    </w:p>
    <w:p w14:paraId="36875E33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第二层(3—4)：写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迁客骚人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览物之情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因景而异。</w:t>
      </w:r>
    </w:p>
    <w:p w14:paraId="4244D00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第三部分(5)：借对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古仁人之心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的探求，抒发作者的旷达胸襟和政治抱负。</w:t>
      </w:r>
    </w:p>
    <w:p w14:paraId="34D1D581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6EFE86CC">
      <w:pPr>
        <w:pStyle w:val="3"/>
      </w:pPr>
      <w:r>
        <w:t>第2课时</w:t>
      </w:r>
    </w:p>
    <w:p w14:paraId="2539926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一、教学新课</w:t>
      </w:r>
    </w:p>
    <w:p w14:paraId="715471C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目标导学一：精读全文，把握文章主旨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2E784C2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1．文章第一段写重修岳阳楼的背景，这背景是什么？说明了什么？</w:t>
      </w:r>
    </w:p>
    <w:p w14:paraId="044151D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政通人和，百废具兴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的基础上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重修岳阳楼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，这说明滕子京在谪守的逆境中，仍不以己悲，把政事治理得井井有条。由此可见作者欣赏他的阔大胸怀，与一般的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迁客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不同。</w:t>
      </w:r>
    </w:p>
    <w:p w14:paraId="5132068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予观夫巴陵胜状，在洞庭一湖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，作者写出了从岳阳</w:t>
      </w:r>
      <w:r>
        <w:rPr>
          <w:rFonts w:hint="eastAsia" w:ascii="Times New Roman" w:hAnsi="Times New Roman" w:cs="Times New Roman"/>
        </w:rPr>
        <w:t>楼看洞庭湖的哪些特点？</w:t>
      </w:r>
    </w:p>
    <w:p w14:paraId="78C63DD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(1)气势非凡：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衔远山，吞长江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；(2)宽阔无边：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浩浩汤汤，横无际涯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；(3)湖光山色：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朝晖夕阴，气象万千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104C8BA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3．作者为什么忽然写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前人之述备矣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，从写景中跳出来写人？</w:t>
      </w:r>
    </w:p>
    <w:p w14:paraId="659F3FE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前人之述备矣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一句承前启后，并回应前文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唐贤今人诗赋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一语。这句话既是谦虚，也暗含转机，经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然则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一转，引出新的意境，由单纯写景，到以情景交融的笔法来写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迁客骚人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览物之情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，从而引出全文的主体。</w:t>
      </w:r>
    </w:p>
    <w:p w14:paraId="4DBA0E5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4．第三段描写了怎样一幅画面？这幅画面渲染了一种怎样的气氛？</w:t>
      </w:r>
    </w:p>
    <w:p w14:paraId="73C8E7E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淫雨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阴风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浊浪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为主景，写就了一幅日星无光，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山岳潜形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，也使商旅不前，并且从暮色沉沉、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虎啸猿啼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之际的画面，渲染出极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的气氛。</w:t>
      </w:r>
    </w:p>
    <w:p w14:paraId="6429ACC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5．第四段描写了怎样一幅画面？这幅画面渲染了一种怎样的气氛？</w:t>
      </w:r>
    </w:p>
    <w:p w14:paraId="590C816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作者绘出春风和畅、景色明丽、水天一碧的良辰美景，更有鸥鸟在自由翱翔，鱼儿在欢快游荡，连无知的水草兰花也充满活力的画面，渲染出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喜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的气氛。</w:t>
      </w:r>
    </w:p>
    <w:p w14:paraId="21BE77A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6．作者用哪些语句概括说明了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迁客骚人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？这样写的目的是什么？</w:t>
      </w:r>
    </w:p>
    <w:p w14:paraId="21F6FE6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去国怀乡，忧谗畏讥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概括说明了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迁客骚人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心旷神怡，宠辱偕忘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概括说明了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迁客骚人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喜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。这样写是为了将这类人的悲喜感情跟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古仁人之心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做对比，引出下文，由写情自然转入议论，突出全文的主旨。</w:t>
      </w:r>
    </w:p>
    <w:p w14:paraId="20B0810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探究一：本文最后一段是文章的核心段落，请你说说拥有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古仁人之心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的人应该拥有怎样的悲喜态度及忧乐</w:t>
      </w:r>
      <w:r>
        <w:rPr>
          <w:rFonts w:hint="eastAsia" w:ascii="Times New Roman" w:hAnsi="Times New Roman" w:cs="Times New Roman"/>
        </w:rPr>
        <w:t>观。</w:t>
      </w:r>
    </w:p>
    <w:p w14:paraId="1CDDEF4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拥有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古仁人之心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的人的悲喜态度是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不以物喜，不以己悲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时，则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居庙堂之高则忧其民，处江湖之远则忧其君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先天下之忧而忧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时，要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后天下之乐而乐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59161F6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探究二：作者在文中说道，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是进亦忧，退亦忧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指什么？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指什么？</w:t>
      </w:r>
    </w:p>
    <w:p w14:paraId="310AC51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讨论并归纳：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进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居庙堂之高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，在朝廷做官；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处江湖之远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，在偏远地区做地方官。</w:t>
      </w:r>
    </w:p>
    <w:p w14:paraId="38ED69E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探究三：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微斯人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斯人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指什么人？</w:t>
      </w:r>
    </w:p>
    <w:p w14:paraId="4E52CB9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讨论并归纳：</w:t>
      </w:r>
      <w:r>
        <w:rPr>
          <w:rFonts w:ascii="Times New Roman" w:hAnsi="Times New Roman" w:eastAsia="楷体_GB2312" w:cs="Times New Roman"/>
        </w:rPr>
        <w:t>指古仁人和有古仁人之心的人，也暗指滕子京，表示对滕子京的劝勉和规箴之意。</w:t>
      </w:r>
    </w:p>
    <w:p w14:paraId="5415C12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目标导学二：探究与赏析，把握本文艺术特征</w:t>
      </w:r>
    </w:p>
    <w:p w14:paraId="7ABFA29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1．范仲淹没有真的到过岳阳楼，只是借滕子京送来的一幅画便创出如此名篇，倘若范仲淹真去了岳阳楼，是否还能创作出如此佳作呢？</w:t>
      </w:r>
    </w:p>
    <w:p w14:paraId="204B053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观点一：能创造出来，因为作者心怀天下，有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先天下之忧而忧，后天下之乐而乐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的心，因此，若范仲淹见过岳阳楼，仍旧能创出此类脍炙人口之</w:t>
      </w:r>
      <w:r>
        <w:rPr>
          <w:rFonts w:hint="eastAsia" w:ascii="Times New Roman" w:hAnsi="Times New Roman" w:eastAsia="楷体_GB2312" w:cs="Times New Roman"/>
        </w:rPr>
        <w:t>佳作。观点二：岳阳楼之大观，前人已经说尽了，再重复那些老话便没有意思，这才让范仲淹采取了换一个新的角度，找一个新的题目的做法，另说他的一套。但见过岳阳楼风景之人，难免为其美景所震撼，反而写不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古仁人之心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的文章也未好说。</w:t>
      </w:r>
    </w:p>
    <w:p w14:paraId="7F48D01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2．有人认为，这篇文章是一篇独到的议论文，你如何看待这个观点？</w:t>
      </w:r>
    </w:p>
    <w:p w14:paraId="4E57364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从全文的结构来看，本文第一段为叙述，第二、三、四段为写景，最后一段发表议论。记事简明，写景铺张，抒情真切，议论精辟。记事、写景、抒情和议论交融在一篇</w:t>
      </w:r>
      <w:r>
        <w:rPr>
          <w:rFonts w:hint="eastAsia" w:ascii="Times New Roman" w:hAnsi="Times New Roman" w:eastAsia="楷体_GB2312" w:cs="Times New Roman"/>
        </w:rPr>
        <w:t>文章中，议论的部分字数不多，但有统率全文的作用，所以可以说这是一篇独到的议论文。</w:t>
      </w:r>
    </w:p>
    <w:p w14:paraId="62EAC9F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3．你一定在朗读的过程中感到文章读来朗朗上口，除了抒情真切外，是否还有其他原因造成这个结果呢？</w:t>
      </w:r>
    </w:p>
    <w:p w14:paraId="52C52DB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也因为本文的语言很有特色。它虽然是一篇散文，却穿插了许多四言的对偶句，如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日星隐曜，山岳潜形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沙鸥翔集，锦鳞游泳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长烟一空，皓月千里，浮光跃金，静影沉璧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。这些骈句为文章增添了色彩，同时也增加了朗读的流畅度。</w:t>
      </w:r>
    </w:p>
    <w:p w14:paraId="33F55650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176E145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二、板书设计</w:t>
      </w:r>
    </w:p>
    <w:p w14:paraId="7FA23FD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\a\vs4\al(岳,阳,楼,记)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\b\lc\{(\a\vs4\al\co1(叙述　作记缘由,\a\vs4\al(描写,抒情)　景物\b\lc\{(\a\vs4\al\co1(\a\vs4\al(概述外景,引起下文)　览物之情，得无异乎,,\a\vs4\al(迁客骚人，,登楼有感)\b\lc\{(\a\vs4\al\co1(淫雨霏霏，感极而悲,春和景明，喜气洋洋)))),,议论　先天下之忧而忧,　后天下之乐而乐))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47" name="图片 747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" name="图片 747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1DAD7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464AAA84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09616E6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朗读文章，解读文章，欣赏文章，分三部分学习本文，能让学生深入了解文本的语言特色及深刻内涵。</w:t>
            </w:r>
          </w:p>
        </w:tc>
      </w:tr>
      <w:tr w14:paraId="2FEA0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5DE92DEA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1D327E1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重点放在文章内容理解上，少有对文本字词的关注，这对学习能力比较差的学生不利。</w:t>
            </w:r>
          </w:p>
        </w:tc>
      </w:tr>
    </w:tbl>
    <w:p w14:paraId="6A7EFDCA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6E9CA51C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0DB566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D8EAD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1E70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6341D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96ED5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4D94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0966F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0F4"/>
    <w:rsid w:val="002560F4"/>
    <w:rsid w:val="00805491"/>
    <w:rsid w:val="2C0B2A47"/>
    <w:rsid w:val="7BF8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1"/>
    <w:uiPriority w:val="0"/>
    <w:rPr>
      <w:rFonts w:ascii="宋体" w:hAnsi="Courier New" w:eastAsia="宋体" w:cs="Courier New"/>
      <w:szCs w:val="21"/>
    </w:rPr>
  </w:style>
  <w:style w:type="paragraph" w:styleId="5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3 Char"/>
    <w:basedOn w:val="8"/>
    <w:link w:val="3"/>
    <w:semiHidden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1">
    <w:name w:val="纯文本 Char"/>
    <w:basedOn w:val="8"/>
    <w:link w:val="4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3731</Words>
  <Characters>3800</Characters>
  <Lines>29</Lines>
  <Paragraphs>8</Paragraphs>
  <TotalTime>0</TotalTime>
  <ScaleCrop>false</ScaleCrop>
  <LinksUpToDate>false</LinksUpToDate>
  <CharactersWithSpaces>3819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A8222072CFA84884B653FFD7F233855D_12</vt:lpwstr>
  </property>
</Properties>
</file>