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100965">
      <w:pPr>
        <w:pStyle w:val="2"/>
      </w:pPr>
      <w:r>
        <w:rPr>
          <w:rFonts w:ascii="Times New Roman" w:hAnsi="Times New Roman" w:cs="Times New Roman"/>
        </w:rPr>
        <w:t>11　醉翁亭记</w:t>
      </w:r>
    </w:p>
    <w:p w14:paraId="6D1F9FD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48" name="图片 748" descr="\\c3\本地磁盘 (D)\帮忙做的\18秋·学·人九语教案word\教学目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" name="图片 748" descr="\\c3\本地磁盘 (D)\帮忙做的\18秋·学·人九语教案word\教学目标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93AD4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1．反复朗读并背诵课文，培养文言语感。</w:t>
      </w:r>
    </w:p>
    <w:p w14:paraId="4A685C1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2．结合注释疏通文义，了解文本内容，掌握文本写作思路。</w:t>
      </w:r>
    </w:p>
    <w:p w14:paraId="3C5DCE2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3．把握文章的艺术特色，理解虚词在文中的作用。</w:t>
      </w:r>
    </w:p>
    <w:p w14:paraId="4BB6AB5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4．体会作者的思想感情，理解作者的政治理想。</w:t>
      </w:r>
    </w:p>
    <w:p w14:paraId="240235E5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49" name="图片 749" descr="\\c3\本地磁盘 (D)\帮忙做的\18秋·学·人九语教案word\教学过程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" name="图片 749" descr="\\c3\本地磁盘 (D)\帮忙做的\18秋·学·人九语教案word\教学过程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CDDCF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601564A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范仲淹因参与改革被贬，于庆历六年写下《岳阳楼记》，寄托自己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先天下之忧而忧，后天下之乐而乐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的政治理想。实际上，这次改革，受到贬谪的除了范仲淹和滕子京之外，</w:t>
      </w:r>
      <w:r>
        <w:rPr>
          <w:rFonts w:hint="eastAsia" w:ascii="Times New Roman" w:hAnsi="Times New Roman" w:cs="Times New Roman"/>
        </w:rPr>
        <w:t>还有范仲淹改革的另一位支持者——北宋大文学家、史学家欧阳修。他于庆历五年被贬谪到滁州，也就是今天的安徽省滁州市。也是在此期间，欧阳修在滁州留下了不逊于《岳阳楼记》的千古名篇——《醉翁亭记》。接下来就让我们一起来学习这篇课文吧！</w:t>
      </w:r>
    </w:p>
    <w:p w14:paraId="2DBCF9D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0B3A2B5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结合前文教学，有利于学生把握本文写作背景，进而加深学生对作品含义的理解。</w:t>
      </w:r>
    </w:p>
    <w:p w14:paraId="04DE46D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4C376ED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目标导学一：认识作者，了解作品背景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7892CCB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</w:t>
      </w:r>
      <w:r>
        <w:rPr>
          <w:rFonts w:hint="eastAsia" w:ascii="Times New Roman" w:hAnsi="Times New Roman" w:cs="Times New Roman"/>
        </w:rPr>
        <w:t>者简介：</w:t>
      </w:r>
      <w:r>
        <w:rPr>
          <w:rFonts w:ascii="Times New Roman" w:hAnsi="Times New Roman" w:eastAsia="楷体_GB2312" w:cs="Times New Roman"/>
        </w:rPr>
        <w:t>欧阳修(1007—1072)，字永叔，自号醉翁，晚年又号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六一居士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。吉州永丰(今属江西)人，因吉州原属庐陵郡，因此他又以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庐陵欧阳修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自居。谥号文忠，世称欧阳文忠公。北宋政治家、文学家、史学家，与韩愈、柳宗元、王安石、苏洵、苏轼、苏辙、曾巩合称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唐宋八大家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。后人又将其与韩愈、柳宗元和苏轼合称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千古文章四大家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</w:t>
      </w:r>
    </w:p>
    <w:p w14:paraId="620FEF0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关于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醉翁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六一居士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eastAsia="楷体_GB2312" w:cs="Times New Roman"/>
        </w:rPr>
        <w:t>初谪滁山，自号醉翁。既老而衰且病，将退休于颍水之上，则又更号六一居士。客有问曰：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六一何谓也？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居士</w:t>
      </w:r>
      <w:r>
        <w:rPr>
          <w:rFonts w:hint="eastAsia" w:ascii="Times New Roman" w:hAnsi="Times New Roman" w:eastAsia="楷体_GB2312" w:cs="Times New Roman"/>
        </w:rPr>
        <w:t>曰：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吾家藏书一万卷，集录三代以来金石遗文一千卷，有琴一张，有棋一局，而常置酒一壶。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客曰：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是为五一尔，奈何？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居士曰：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以吾一翁，老于此五物之间，岂不为六一乎？</w:t>
      </w:r>
      <w:r>
        <w:rPr>
          <w:rFonts w:hint="eastAsia" w:hAnsi="宋体" w:cs="Times New Roman"/>
        </w:rPr>
        <w:t>”</w:t>
      </w:r>
    </w:p>
    <w:p w14:paraId="1EAA257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写作背景：</w:t>
      </w:r>
      <w:r>
        <w:rPr>
          <w:rFonts w:ascii="Times New Roman" w:hAnsi="Times New Roman" w:eastAsia="楷体_GB2312" w:cs="Times New Roman"/>
        </w:rPr>
        <w:t>宋仁宗庆历五年(1045年)，参知政事范仲淹等人遭谗离职，欧阳修上书替他们分辩，被贬到滁州做了两年知州。到任以后，他内心抑郁，但还能发挥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宽简而不扰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的作风，取得了某些政绩。《醉翁亭记》就是在这个时期写就的。</w:t>
      </w:r>
    </w:p>
    <w:p w14:paraId="2505E80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目标导学二：朗读文章，通文顺字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162152F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1．初读文章，结合工具书梳理文章字词。</w:t>
      </w:r>
    </w:p>
    <w:p w14:paraId="4D137D1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2．朗读文章，划分文章节奏，标出节奏划分有疑难的语句。</w:t>
      </w:r>
    </w:p>
    <w:p w14:paraId="678E350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节奏划分示例</w:t>
      </w:r>
    </w:p>
    <w:p w14:paraId="3744119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环滁/皆山也。其/西南诸峰，林壑/尤美，望之/蔚然而深秀者，琅琊也。山行/六七里，渐闻/水声潺潺，而泻出于/两峰之间者，酿泉也。峰回/路转，有亭/翼然临于泉上者，醉翁亭也。作亭者/谁？山之僧/曰/智仙也。名之者/谁？太守/自谓也。太守与客来饮/于此，饮少/辄醉，而/年又最高，故/自号曰/醉翁也。醉翁之意/不</w:t>
      </w:r>
      <w:r>
        <w:rPr>
          <w:rFonts w:hint="eastAsia" w:ascii="Times New Roman" w:hAnsi="Times New Roman" w:eastAsia="楷体_GB2312" w:cs="Times New Roman"/>
        </w:rPr>
        <w:t>在酒，在乎</w:t>
      </w:r>
      <w:r>
        <w:rPr>
          <w:rFonts w:ascii="Times New Roman" w:hAnsi="Times New Roman" w:eastAsia="楷体_GB2312" w:cs="Times New Roman"/>
        </w:rPr>
        <w:t>/山水之间也。山水之乐，得之心/而寓之酒也。</w:t>
      </w:r>
    </w:p>
    <w:p w14:paraId="457D04D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节奏划分思考</w:t>
      </w:r>
    </w:p>
    <w:p w14:paraId="6CDCC29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山行/六七里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为什么不能划分为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山/行六七里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？</w:t>
      </w:r>
    </w:p>
    <w:p w14:paraId="15FC18C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山行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意指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沿着山路走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山行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是个状中短语，不能将其割裂。</w:t>
      </w:r>
    </w:p>
    <w:p w14:paraId="5A93C73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望之/蔚然而深秀者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为什么不能划分为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望之蔚然/而深秀者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？</w:t>
      </w:r>
    </w:p>
    <w:p w14:paraId="4CA0D9B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蔚然而深秀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是两个并列的词，不宜割裂，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望之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是总起词语，故应从其后断句。</w:t>
      </w:r>
    </w:p>
    <w:p w14:paraId="19EFF59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67FDA6F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引导学生在</w:t>
      </w:r>
      <w:r>
        <w:rPr>
          <w:rFonts w:hint="eastAsia" w:ascii="Times New Roman" w:hAnsi="Times New Roman" w:cs="Times New Roman"/>
        </w:rPr>
        <w:t>反复朗读的过程中划分朗读节奏，在划分节奏的过程中感知文意。对于部分结构复杂的句子，教师可做适当的讲解引导。</w:t>
      </w:r>
    </w:p>
    <w:p w14:paraId="70A5051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目标导学三：结合注释，翻译训练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2BD35F2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1．学生结合课下注释和工具书自行疏通文义，并画出不解之处。</w:t>
      </w:r>
    </w:p>
    <w:p w14:paraId="2C496EF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611AFC7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节奏划分与明确文意相辅相成，若能以节奏划分引导学生明确文意最好；若学生理解有限，亦可在解读文意后把握节奏划分。</w:t>
      </w:r>
    </w:p>
    <w:p w14:paraId="1E5FDB8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2．以四人小组为单位，组内互助</w:t>
      </w:r>
      <w:r>
        <w:rPr>
          <w:rFonts w:hint="eastAsia" w:ascii="Times New Roman" w:hAnsi="Times New Roman" w:cs="Times New Roman"/>
        </w:rPr>
        <w:t>解疑，并尝试用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直译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与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意译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两种方法译读文章。</w:t>
      </w:r>
    </w:p>
    <w:p w14:paraId="1C9B8F3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3．教师选择疑难句或值得翻译的句子，请学生用两种翻译方法进行翻译。</w:t>
      </w:r>
    </w:p>
    <w:p w14:paraId="256C11D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翻译示例：</w:t>
      </w:r>
    </w:p>
    <w:p w14:paraId="35DAF74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若夫日出而林霏开，云归而岩穴暝，晦明变化者，山间之朝暮也。野芳发而幽香，佳木秀而繁阴，风霜高洁，水落而石出者，山间之四时也。</w:t>
      </w:r>
    </w:p>
    <w:p w14:paraId="241CBC5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直译法：</w:t>
      </w:r>
      <w:r>
        <w:rPr>
          <w:rFonts w:ascii="Times New Roman" w:hAnsi="Times New Roman" w:eastAsia="楷体_GB2312" w:cs="Times New Roman"/>
        </w:rPr>
        <w:t>那太阳一出来，树林里的雾气散开，云雾聚拢，山谷就显得昏暗了，朝则自暗而明，暮则自明而暗，或暗或明，变化不一，这是山间早晚的景色。野花开放，有一股清幽的香味，好的树木枝叶繁茂，形成浓郁的绿</w:t>
      </w:r>
      <w:r>
        <w:rPr>
          <w:rFonts w:hint="eastAsia" w:ascii="Times New Roman" w:hAnsi="Times New Roman" w:eastAsia="楷体_GB2312" w:cs="Times New Roman"/>
        </w:rPr>
        <w:t>荫。天高气爽，霜色洁白，泉水浅了，石底露出水面，这是山中四季的景色。</w:t>
      </w:r>
    </w:p>
    <w:p w14:paraId="2E6370D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意译法：</w:t>
      </w:r>
      <w:r>
        <w:rPr>
          <w:rFonts w:ascii="Times New Roman" w:hAnsi="Times New Roman" w:eastAsia="楷体_GB2312" w:cs="Times New Roman"/>
        </w:rPr>
        <w:t>太阳升起，山林里雾气开始消散，烟云聚拢，山谷又开始显得昏暗，清晨自暗而明，薄暮又自明而暗，如此暗明变化的，就是山中的朝暮。春天野花绽开并散发出阵阵幽香，夏日佳树繁茂并形成一片浓荫，秋天风高气爽，霜色洁白，冬日水枯而石底上露，如此，就是山中的四季。</w:t>
      </w:r>
    </w:p>
    <w:p w14:paraId="748E67C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32CE596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翻译有直译与意译两种方式，直译锻炼学生用语的准确性，但可能会降低译文的美感；意译可</w:t>
      </w:r>
      <w:r>
        <w:rPr>
          <w:rFonts w:hint="eastAsia" w:ascii="Times New Roman" w:hAnsi="Times New Roman" w:cs="Times New Roman"/>
        </w:rPr>
        <w:t>加强译文的美感，培养学生的翻译兴趣，但可能会降低译文的准确性。因此，需两种翻译方式都做必要引导。全文直译内容见《我的积累本》。</w:t>
      </w:r>
    </w:p>
    <w:p w14:paraId="5C642A3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目标导学四：解读文段，把握文本内容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1B55708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1．赏析第一段，说说本文是如何引出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醉翁亭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的位置的，作者在此运用了怎样的艺术手法。</w:t>
      </w:r>
    </w:p>
    <w:p w14:paraId="3DF27A7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首先以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环滁皆山也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五字领起，将滁州的地理环境一笔勾出，点出醉翁亭坐落在群山之中，并纵观滁州全貌，鸟瞰群山环抱之景。接着作者将</w:t>
      </w:r>
      <w:r>
        <w:rPr>
          <w:rFonts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镜头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全景移向局部，先写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西南诸峰，林壑尤美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，醉翁亭坐落在有最美的林壑的西南诸峰之中，视野集中到最佳处。再写琅琊山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蔚然而深秀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，点山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秀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，照应上文的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美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。又写酿泉，其名字透出了泉与酒的关系，好泉酿好酒，好酒叫人醉。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醉翁亭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的名字便暗中透出，然后引出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醉翁亭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来。作者利用空间变幻的手法，移步换景，由远及近，为我们描绘了一幅幅山水特写。</w:t>
      </w:r>
    </w:p>
    <w:p w14:paraId="3A12E99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2．第二段主要写了什么？它和第一段有什么联系？</w:t>
      </w:r>
    </w:p>
    <w:p w14:paraId="5EC5881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第二段利用时间推移，抓住朝暮及四季特点，描绘</w:t>
      </w:r>
      <w:r>
        <w:rPr>
          <w:rFonts w:hint="eastAsia" w:ascii="Times New Roman" w:hAnsi="Times New Roman" w:eastAsia="楷体_GB2312" w:cs="Times New Roman"/>
        </w:rPr>
        <w:t>了对比鲜明的晦明变化图及四季风光图，写出了其中的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乐亦无穷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。第二段是第一段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山水之乐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的具体化。</w:t>
      </w:r>
    </w:p>
    <w:p w14:paraId="136B75F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3．第三段同样是写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乐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，但却是写的游人之乐，作者是如何写游人之乐的？</w:t>
      </w:r>
    </w:p>
    <w:p w14:paraId="1FFC6EC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滁人游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，前呼后应，扶老携幼，自由自在，热闹非凡；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太守宴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，溪深鱼肥，泉香酒洌，美味佳肴，应有尽有；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众宾欢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，投壶下棋，觥筹交错，说说笑笑，无拘无束。如此勾画了游人之乐。</w:t>
      </w:r>
    </w:p>
    <w:p w14:paraId="2A501ED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4．作者为什么要在第三段写游人之乐？</w:t>
      </w:r>
    </w:p>
    <w:p w14:paraId="7F3E531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写滁人之游，描绘出一幅太平祥和的百姓游乐图。游乐场景映在太守的眼里，便多了一层政治清明的意味。太守在游人之乐中酒酣而醉，此醉是为山水之乐而醉，更是为能与百姓同乐而醉。体现太守与百姓关系融洽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政通人和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才能有这样的乐。</w:t>
      </w:r>
    </w:p>
    <w:p w14:paraId="3A60DE2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5．第四段主要写了什么？</w:t>
      </w:r>
    </w:p>
    <w:p w14:paraId="3C7D1CF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写宴会散、众人归的情景。</w:t>
      </w:r>
    </w:p>
    <w:p w14:paraId="06BF900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目标导学五：深入解读，把握作者思想感情</w:t>
      </w:r>
    </w:p>
    <w:p w14:paraId="353CB48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思考探究：作者以一个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乐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字贯穿全篇，却有两个句子别</w:t>
      </w:r>
      <w:r>
        <w:rPr>
          <w:rFonts w:hint="eastAsia" w:ascii="Times New Roman" w:hAnsi="Times New Roman" w:cs="Times New Roman"/>
        </w:rPr>
        <w:t>出深意，不单单是在写乐，而是另有所指，表达出另外一种情绪，请你找出这两个句子，说说这种情绪是什么。</w:t>
      </w:r>
    </w:p>
    <w:p w14:paraId="4BC490A2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int="eastAsia"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醉翁之意不在酒，在乎山水之间也。醉能同其乐，醒能述以文者，太守也。</w:t>
      </w:r>
    </w:p>
    <w:p w14:paraId="248022D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这种情绪是作者遭贬谪后的抑郁，作者并未在文中袒露胸怀，只含蓄地说：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醉能同其乐，醒能述以文者，太守也。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此句与醉翁亭的名称、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醉翁之意不在酒，在乎山水之间也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前后呼应，并与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滁人游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太守宴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众宾欢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太守醉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连成一条抒情的线索，曲折地表达了作者内心复杂的思想感情。</w:t>
      </w:r>
    </w:p>
    <w:p w14:paraId="10ADAF3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黑体" w:cs="Times New Roman"/>
        </w:rPr>
        <w:t>目标导学六：赏析文本，感受文本艺术特色</w:t>
      </w:r>
    </w:p>
    <w:p w14:paraId="41DB6CD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1．在把握作者复杂感情的基础上朗读文本。</w:t>
      </w:r>
    </w:p>
    <w:p w14:paraId="403AF63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2．反复朗读，请同学说说本文读来有哪些特点，为什么会有这些特点。</w:t>
      </w:r>
    </w:p>
    <w:p w14:paraId="49F29706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(1)句法上大量运用骈偶句，并夹有散句，既整齐又富有变化，使文章越发显得音调铿锵，形成一种骈散结合的独特风格。如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野芳发而幽香，佳木秀而繁阴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朝而往，暮而归，四时之景不同，而乐亦无穷也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</w:t>
      </w:r>
    </w:p>
    <w:p w14:paraId="7C2CD93C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(2)文章多用判断句，层次极其分明，抒情淋漓尽致，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也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而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的反复运用，形成回环往复的韵律，使读者在诵</w:t>
      </w:r>
      <w:r>
        <w:rPr>
          <w:rFonts w:hint="eastAsia" w:ascii="Times New Roman" w:hAnsi="Times New Roman" w:eastAsia="楷体_GB2312" w:cs="Times New Roman"/>
        </w:rPr>
        <w:t>读中获得美的享受。</w:t>
      </w:r>
    </w:p>
    <w:p w14:paraId="67C9314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</w:rPr>
        <w:t>3)文章写景优美，又多韵律，使人读来不仅能感受到绘画美，也能感受到韵律美。</w:t>
      </w:r>
    </w:p>
    <w:p w14:paraId="5131366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目标导学七：探索文本虚词，把握文言现象</w:t>
      </w:r>
    </w:p>
    <w:p w14:paraId="6A96D41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虚词</w:t>
      </w:r>
      <w:r>
        <w:rPr>
          <w:rFonts w:hAnsi="宋体" w:cs="Times New Roman"/>
        </w:rPr>
        <w:t>“</w:t>
      </w:r>
      <w:r>
        <w:rPr>
          <w:rFonts w:ascii="Times New Roman" w:hAnsi="Times New Roman" w:eastAsia="黑体" w:cs="Times New Roman"/>
        </w:rPr>
        <w:t>而</w:t>
      </w:r>
      <w:r>
        <w:rPr>
          <w:rFonts w:hAnsi="宋体" w:cs="Times New Roman"/>
        </w:rPr>
        <w:t>”</w:t>
      </w:r>
      <w:r>
        <w:rPr>
          <w:rFonts w:ascii="Times New Roman" w:hAnsi="Times New Roman" w:eastAsia="黑体" w:cs="Times New Roman"/>
        </w:rPr>
        <w:t>的用法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7380"/>
      </w:tblGrid>
      <w:tr w14:paraId="2D1BE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23413EFA">
            <w:pPr>
              <w:pStyle w:val="3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用法</w:t>
            </w:r>
          </w:p>
        </w:tc>
        <w:tc>
          <w:tcPr>
            <w:tcW w:w="7380" w:type="dxa"/>
            <w:shd w:val="clear" w:color="auto" w:fill="auto"/>
            <w:vAlign w:val="center"/>
          </w:tcPr>
          <w:p w14:paraId="567AB985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文本举例</w:t>
            </w:r>
          </w:p>
        </w:tc>
      </w:tr>
      <w:tr w14:paraId="49B9B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70EA7D7F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表并列</w:t>
            </w:r>
          </w:p>
        </w:tc>
        <w:tc>
          <w:tcPr>
            <w:tcW w:w="7380" w:type="dxa"/>
            <w:shd w:val="clear" w:color="auto" w:fill="auto"/>
            <w:vAlign w:val="center"/>
          </w:tcPr>
          <w:p w14:paraId="2D4763CE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1.蔚然而深秀者；2.溪深而鱼肥；3.泉香而酒洌；4.起坐而喧哗者</w:t>
            </w:r>
          </w:p>
        </w:tc>
      </w:tr>
      <w:tr w14:paraId="364BE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6D936FC2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表递进</w:t>
            </w:r>
          </w:p>
        </w:tc>
        <w:tc>
          <w:tcPr>
            <w:tcW w:w="7380" w:type="dxa"/>
            <w:shd w:val="clear" w:color="auto" w:fill="auto"/>
            <w:vAlign w:val="center"/>
          </w:tcPr>
          <w:p w14:paraId="4194F9E4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1.而年又最</w:t>
            </w:r>
            <w:r>
              <w:rPr>
                <w:rFonts w:hint="eastAsia" w:ascii="Times New Roman" w:hAnsi="Times New Roman" w:cs="Times New Roman"/>
              </w:rPr>
              <w:t>高；</w:t>
            </w:r>
            <w:r>
              <w:rPr>
                <w:rFonts w:ascii="Times New Roman" w:hAnsi="Times New Roman" w:cs="Times New Roman"/>
              </w:rPr>
              <w:t>2.得之心而寓之酒也</w:t>
            </w:r>
          </w:p>
        </w:tc>
      </w:tr>
      <w:tr w14:paraId="13267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41C401F1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表承接</w:t>
            </w:r>
          </w:p>
        </w:tc>
        <w:tc>
          <w:tcPr>
            <w:tcW w:w="7380" w:type="dxa"/>
            <w:shd w:val="clear" w:color="auto" w:fill="auto"/>
            <w:vAlign w:val="center"/>
          </w:tcPr>
          <w:p w14:paraId="6EB5C2D2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1.渐闻水声潺潺，而泻出于两峰之间者；2.若夫日出而林霏开，云归而岩穴暝；3.野芳发而幽香，佳木秀而繁阴；4.水落而石出者；5.临溪而渔；6.太守归而宾客从也；7.人知从太守游而乐</w:t>
            </w:r>
          </w:p>
        </w:tc>
      </w:tr>
      <w:tr w14:paraId="14CE8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31F5C42B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表修饰</w:t>
            </w:r>
          </w:p>
        </w:tc>
        <w:tc>
          <w:tcPr>
            <w:tcW w:w="7380" w:type="dxa"/>
            <w:shd w:val="clear" w:color="auto" w:fill="auto"/>
            <w:vAlign w:val="center"/>
          </w:tcPr>
          <w:p w14:paraId="7352BB3C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1.朝而往，暮而归；2.杂然而前陈者</w:t>
            </w:r>
          </w:p>
        </w:tc>
      </w:tr>
      <w:tr w14:paraId="3FD49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67547FC2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表转折</w:t>
            </w:r>
          </w:p>
        </w:tc>
        <w:tc>
          <w:tcPr>
            <w:tcW w:w="7380" w:type="dxa"/>
            <w:shd w:val="clear" w:color="auto" w:fill="auto"/>
            <w:vAlign w:val="center"/>
          </w:tcPr>
          <w:p w14:paraId="22DADC8F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1.而不知人之乐；2.而不知太守之乐其乐也</w:t>
            </w:r>
          </w:p>
        </w:tc>
      </w:tr>
    </w:tbl>
    <w:p w14:paraId="6760AB3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虚词</w:t>
      </w:r>
      <w:r>
        <w:rPr>
          <w:rFonts w:hAnsi="宋体" w:cs="Times New Roman"/>
        </w:rPr>
        <w:t>“</w:t>
      </w:r>
      <w:r>
        <w:rPr>
          <w:rFonts w:ascii="Times New Roman" w:hAnsi="Times New Roman" w:eastAsia="黑体" w:cs="Times New Roman"/>
        </w:rPr>
        <w:t>之</w:t>
      </w:r>
      <w:r>
        <w:rPr>
          <w:rFonts w:hAnsi="宋体" w:cs="Times New Roman"/>
        </w:rPr>
        <w:t>”</w:t>
      </w:r>
      <w:r>
        <w:rPr>
          <w:rFonts w:ascii="Times New Roman" w:hAnsi="Times New Roman" w:eastAsia="黑体" w:cs="Times New Roman"/>
        </w:rPr>
        <w:t>的用法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6"/>
        <w:gridCol w:w="5070"/>
      </w:tblGrid>
      <w:tr w14:paraId="3D65E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6" w:type="dxa"/>
            <w:shd w:val="clear" w:color="auto" w:fill="auto"/>
            <w:vAlign w:val="center"/>
          </w:tcPr>
          <w:p w14:paraId="4DE60E1C">
            <w:pPr>
              <w:pStyle w:val="3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用法</w:t>
            </w:r>
          </w:p>
        </w:tc>
        <w:tc>
          <w:tcPr>
            <w:tcW w:w="5070" w:type="dxa"/>
            <w:shd w:val="clear" w:color="auto" w:fill="auto"/>
            <w:vAlign w:val="center"/>
          </w:tcPr>
          <w:p w14:paraId="13BE7288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文本举例</w:t>
            </w:r>
          </w:p>
        </w:tc>
      </w:tr>
      <w:tr w14:paraId="51EB5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6" w:type="dxa"/>
            <w:shd w:val="clear" w:color="auto" w:fill="auto"/>
            <w:vAlign w:val="center"/>
          </w:tcPr>
          <w:p w14:paraId="170F1B50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表助</w:t>
            </w:r>
          </w:p>
          <w:p w14:paraId="6237CE3C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词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的</w:t>
            </w:r>
            <w:r>
              <w:rPr>
                <w:rFonts w:hAnsi="宋体" w:cs="Times New Roman"/>
              </w:rPr>
              <w:t>”</w:t>
            </w:r>
          </w:p>
        </w:tc>
        <w:tc>
          <w:tcPr>
            <w:tcW w:w="5070" w:type="dxa"/>
            <w:shd w:val="clear" w:color="auto" w:fill="auto"/>
            <w:vAlign w:val="center"/>
          </w:tcPr>
          <w:p w14:paraId="7B38681C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1.泻出于两峰之间者；2.醉翁之意不在酒；3.山水之乐；4.山间之朝暮也；5.宴酣之乐</w:t>
            </w:r>
          </w:p>
        </w:tc>
      </w:tr>
      <w:tr w14:paraId="2145B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6" w:type="dxa"/>
            <w:shd w:val="clear" w:color="auto" w:fill="auto"/>
            <w:vAlign w:val="center"/>
          </w:tcPr>
          <w:p w14:paraId="192D6733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位于主谓之间，</w:t>
            </w:r>
          </w:p>
          <w:p w14:paraId="6C6AD91A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取消句子独立性</w:t>
            </w:r>
          </w:p>
        </w:tc>
        <w:tc>
          <w:tcPr>
            <w:tcW w:w="5070" w:type="dxa"/>
            <w:shd w:val="clear" w:color="auto" w:fill="auto"/>
            <w:vAlign w:val="center"/>
          </w:tcPr>
          <w:p w14:paraId="10449124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而不知太守之乐其乐也</w:t>
            </w:r>
          </w:p>
        </w:tc>
      </w:tr>
      <w:tr w14:paraId="6BADA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6" w:type="dxa"/>
            <w:shd w:val="clear" w:color="auto" w:fill="auto"/>
            <w:vAlign w:val="center"/>
          </w:tcPr>
          <w:p w14:paraId="01A57317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表代词</w:t>
            </w:r>
          </w:p>
        </w:tc>
        <w:tc>
          <w:tcPr>
            <w:tcW w:w="5070" w:type="dxa"/>
            <w:shd w:val="clear" w:color="auto" w:fill="auto"/>
            <w:vAlign w:val="center"/>
          </w:tcPr>
          <w:p w14:paraId="3EE924A4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1.望之蔚然而深秀者；2.名之者谁(指醉翁亭)；3.得之心而寓之酒也(指山水之乐)</w:t>
            </w:r>
          </w:p>
        </w:tc>
      </w:tr>
    </w:tbl>
    <w:p w14:paraId="00A7AF0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0C79189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更多文言现象请参见《我的积累本》。</w:t>
      </w:r>
    </w:p>
    <w:p w14:paraId="47E4D43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 w14:paraId="7A03B07D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路线：环滁——琅琊山——酿泉——</w:t>
      </w:r>
      <w:r>
        <w:rPr>
          <w:rFonts w:hint="eastAsia" w:ascii="Times New Roman" w:hAnsi="Times New Roman" w:cs="Times New Roman"/>
        </w:rPr>
        <w:t>醉翁亭</w:t>
      </w:r>
    </w:p>
    <w:p w14:paraId="4468683C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风景：朝暮之景——四时之景　　　　山水之乐(醉景)</w:t>
      </w:r>
    </w:p>
    <w:p w14:paraId="744F89DE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风俗：滁人游——太守宴——众宾欢</w:t>
      </w:r>
    </w:p>
    <w:p w14:paraId="744E7440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——太守醉　　　　　　　　　宴游之乐(醉人)</w:t>
      </w:r>
    </w:p>
    <w:p w14:paraId="2AB90AD8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心情：禽鸟乐——人之乐——乐其乐　与民同乐(醉情)</w:t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50" name="图片 750" descr="\\c3\本地磁盘 (D)\帮忙做的\18秋·学·人九语教案word\教学反思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" name="图片 750" descr="\\c3\本地磁盘 (D)\帮忙做的\18秋·学·人九语教案word\教学反思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6"/>
        <w:gridCol w:w="6120"/>
      </w:tblGrid>
      <w:tr w14:paraId="64116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627BF8AC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30BA826F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重视朗读，有利于培养学生的文言语感，并通过节奏划分引导学生理解文意，突破了仅按注释疏通文义的桎梏，有利于引导学生自主思考；不单纯关注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直译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原则，同时</w:t>
            </w:r>
            <w:r>
              <w:rPr>
                <w:rFonts w:hint="eastAsia" w:ascii="Times New Roman" w:hAnsi="Times New Roman" w:cs="Times New Roman"/>
              </w:rPr>
              <w:t>培养学生的</w:t>
            </w:r>
            <w:r>
              <w:rPr>
                <w:rFonts w:hint="eastAsia" w:hAnsi="宋体" w:cs="Times New Roman"/>
              </w:rPr>
              <w:t>“</w:t>
            </w:r>
            <w:r>
              <w:rPr>
                <w:rFonts w:hint="eastAsia" w:ascii="Times New Roman" w:hAnsi="Times New Roman" w:cs="Times New Roman"/>
              </w:rPr>
              <w:t>意译</w:t>
            </w:r>
            <w:r>
              <w:rPr>
                <w:rFonts w:hint="eastAsia" w:hAnsi="宋体" w:cs="Times New Roman"/>
              </w:rPr>
              <w:t>”</w:t>
            </w:r>
            <w:r>
              <w:rPr>
                <w:rFonts w:hint="eastAsia" w:ascii="Times New Roman" w:hAnsi="Times New Roman" w:cs="Times New Roman"/>
              </w:rPr>
              <w:t>能力，引导学生关注文言文的美感，在一定程度上有助于培养学生的核心素养。</w:t>
            </w:r>
          </w:p>
        </w:tc>
      </w:tr>
      <w:tr w14:paraId="1C7C0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63ABC391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7AE74197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文章难度相对较高，基础能力低的学生难以适应该教学。</w:t>
            </w:r>
          </w:p>
        </w:tc>
      </w:tr>
    </w:tbl>
    <w:p w14:paraId="25AD1B25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37CCBD79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06" w:h="16838"/>
          <w:pgMar w:top="1440" w:right="1753" w:bottom="1440" w:left="1753" w:header="851" w:footer="992" w:gutter="0"/>
          <w:cols w:space="425" w:num="1"/>
          <w:docGrid w:type="lines" w:linePitch="312" w:charSpace="0"/>
        </w:sectPr>
      </w:pPr>
    </w:p>
    <w:p w14:paraId="700BB0B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B18E8A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D2D4F0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B93AC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2EF975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25C81A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782B8F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B29"/>
    <w:rsid w:val="00853B8B"/>
    <w:rsid w:val="00887B29"/>
    <w:rsid w:val="3D94560E"/>
    <w:rsid w:val="61F3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8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9"/>
    <w:uiPriority w:val="0"/>
    <w:rPr>
      <w:rFonts w:ascii="宋体" w:hAnsi="Courier New" w:eastAsia="宋体" w:cs="Courier New"/>
      <w:szCs w:val="21"/>
    </w:rPr>
  </w:style>
  <w:style w:type="paragraph" w:styleId="4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标题 2 Char"/>
    <w:basedOn w:val="7"/>
    <w:link w:val="2"/>
    <w:semiHidden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纯文本 Char"/>
    <w:basedOn w:val="7"/>
    <w:link w:val="3"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file:///\\c3\&#26412;&#22320;&#30913;&#30424;%252520(D)\&#24110;&#24537;&#20570;&#30340;\18&#31179;&#183;&#23398;&#183;&#20154;&#20061;&#35821;&#25945;&#26696;word\&#25945;&#23398;&#21453;&#24605;.TIF" TargetMode="External"/><Relationship Id="rId14" Type="http://schemas.openxmlformats.org/officeDocument/2006/relationships/image" Target="media/image3.tiff"/><Relationship Id="rId13" Type="http://schemas.openxmlformats.org/officeDocument/2006/relationships/image" Target="file:///\\c3\&#26412;&#22320;&#30913;&#30424;%252520(D)\&#24110;&#24537;&#20570;&#30340;\18&#31179;&#183;&#23398;&#183;&#20154;&#20061;&#35821;&#25945;&#26696;word\&#25945;&#23398;&#36807;&#31243;.TIF" TargetMode="External"/><Relationship Id="rId12" Type="http://schemas.openxmlformats.org/officeDocument/2006/relationships/image" Target="media/image2.tiff"/><Relationship Id="rId11" Type="http://schemas.openxmlformats.org/officeDocument/2006/relationships/image" Target="file:///\\c3\&#26412;&#22320;&#30913;&#30424;%252520(D)\&#24110;&#24537;&#20570;&#30340;\18&#31179;&#183;&#23398;&#183;&#20154;&#20061;&#35821;&#25945;&#26696;word\&#25945;&#23398;&#30446;&#26631;.TIF" TargetMode="External"/><Relationship Id="rId10" Type="http://schemas.openxmlformats.org/officeDocument/2006/relationships/image" Target="media/image1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3629</Words>
  <Characters>3681</Characters>
  <Lines>27</Lines>
  <Paragraphs>7</Paragraphs>
  <TotalTime>0</TotalTime>
  <ScaleCrop>false</ScaleCrop>
  <LinksUpToDate>false</LinksUpToDate>
  <CharactersWithSpaces>3701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2018-05-19T03:49:00Z</dcterms:created>
  <dc:creator>Administrator</dc:creator>
  <cp:lastModifiedBy>上帝掷骰子吗</cp:lastModifiedBy>
  <dcterms:modified xsi:type="dcterms:W3CDTF">2025-08-06T09:09:54Z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3FAE5C82CE7146E59DF0035F86D0929F_12</vt:lpwstr>
  </property>
</Properties>
</file>