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D5BD9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13　短文两篇</w:t>
      </w:r>
    </w:p>
    <w:p w14:paraId="04EB55A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96196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1．阅读课文，理解并把握作者的观点。</w:t>
      </w:r>
    </w:p>
    <w:p w14:paraId="0D4BB84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2．梳理课文的论述思路，学习作者的说理艺术。</w:t>
      </w:r>
    </w:p>
    <w:p w14:paraId="0B3C0B3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3．树立正确的读书观，认识读书的价值，学会以正确的方法和态度读书。</w:t>
      </w:r>
    </w:p>
    <w:p w14:paraId="415C8B2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AAC42D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382804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读书有径。著名作家刘心武有所谓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狼式读法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，即在好奇心的驱使下</w:t>
      </w:r>
      <w:r>
        <w:rPr>
          <w:rFonts w:hint="eastAsia" w:ascii="Times New Roman" w:hAnsi="Times New Roman" w:cs="Times New Roman"/>
        </w:rPr>
        <w:t>一目十行，匆匆翻页，颇似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狼吞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；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牛式读法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，即不仅细嚼慢咽，而且通过反刍，再加以精磨详研；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猫式读法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，即慎重选择，分清良莠，吸取精华，抛弃糟粕。掌握正确的读书方法，往往可以收到事半功倍的效果。今天，就让我们一起来学习《短文两篇》，看看培根和马南邨教给我们哪些读书方法。</w:t>
      </w:r>
    </w:p>
    <w:p w14:paraId="2D66D66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165BFC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目标导学一：理清思路，把握观点</w:t>
      </w:r>
    </w:p>
    <w:p w14:paraId="60CC74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1．《谈读书》作者是从哪几个方面谈读书的？</w:t>
      </w:r>
    </w:p>
    <w:p w14:paraId="1C1F6CB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eastAsia="楷体_GB2312" w:cs="Times New Roman"/>
        </w:rPr>
        <w:t>作者主要从三个方面来谈的。</w:t>
      </w:r>
    </w:p>
    <w:p w14:paraId="1819B53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第一方面(从开头到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全凭观察得之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)：阐述读书的正确目的。</w:t>
      </w:r>
    </w:p>
    <w:p w14:paraId="40FBEA6A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(1)先正面说读书有三种不同目的：怡情、傅彩和长才。</w:t>
      </w:r>
    </w:p>
    <w:p w14:paraId="724D9C23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(2)后反面指出读书的三种偏向：惰、矫和学究。</w:t>
      </w:r>
    </w:p>
    <w:p w14:paraId="3751D9A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第二方面(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读书时不可存心诘难作者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始能无知而显有知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)：阐述读书的方法。</w:t>
      </w:r>
    </w:p>
    <w:p w14:paraId="363609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第三方面(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读史使人明智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到结尾)：阐述读书能塑造人的性格和弥补精神上的各种缺陷。</w:t>
      </w:r>
    </w:p>
    <w:p w14:paraId="7EEBB9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2．《谈读书》中说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书有可浅尝者，有可吞食者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否则书经提炼犹如水经蒸馏，味同嚼蜡矣。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这几句话</w:t>
      </w:r>
      <w:r>
        <w:rPr>
          <w:rFonts w:hint="eastAsia" w:ascii="Times New Roman" w:hAnsi="Times New Roman" w:cs="Times New Roman"/>
        </w:rPr>
        <w:t>主要讲了什么内容？运用了什么论证方法？表达了什么？</w:t>
      </w:r>
    </w:p>
    <w:p w14:paraId="5DF087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主要介绍了三种具体的读书方法，即浏览、精读和摘要。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犹如水经蒸馏，味同嚼蜡矣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运用了比喻论证。极为生动地说明书经提炼后就容易丧失掉大量的精华，读者能获取的知识、信息、价值就会减少、降低。</w:t>
      </w:r>
    </w:p>
    <w:p w14:paraId="36B76A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3．《不求甚解》一文批驳的观点是什么？作者的观点是什么？</w:t>
      </w:r>
    </w:p>
    <w:p w14:paraId="4A968D9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批驳的观点：对任何问题不求甚解都是不好的。作者的观点：盲目地反对不求甚解的态度没有充分理由。</w:t>
      </w:r>
    </w:p>
    <w:p w14:paraId="079CCB1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4．《不求甚解》一文分析了陶渊明怎样的读书态度？请指出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的两层含义。</w:t>
      </w:r>
    </w:p>
    <w:p w14:paraId="79FA9E6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态度：养成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好读书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的习惯；读书要诀在于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会意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。含义：第一，虚心，书不一定都能读懂；第二，读书不要固执一点，咬文嚼字，而要前后贯通，要了解大意。</w:t>
      </w:r>
    </w:p>
    <w:p w14:paraId="7C73DF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5．《不求甚解》一文是驳论文还是立论文？又是如何驳或者立的？谈一谈你的理解。</w:t>
      </w:r>
    </w:p>
    <w:p w14:paraId="3183981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驳论文。驳的是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论点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，先全面阐述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的含义，进而提倡虚心的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的读书态度，从而表明自己的</w:t>
      </w:r>
      <w:r>
        <w:rPr>
          <w:rFonts w:hint="eastAsia" w:ascii="Times New Roman" w:hAnsi="Times New Roman" w:eastAsia="楷体_GB2312" w:cs="Times New Roman"/>
        </w:rPr>
        <w:t>观点。又从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会意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角度，列举古人读书的例子，并阐明自己的正确论点：读书在会意，不要死抠字眼，为一个局部而放弃整体；最后又强调了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书必须反复读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的主张。这样通过树立自己正确的观点从而驳倒敌论。</w:t>
      </w:r>
    </w:p>
    <w:p w14:paraId="60792F8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目标导学二：通读课文，分析论证方法</w:t>
      </w:r>
    </w:p>
    <w:p w14:paraId="0B1F382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通读课文，结合课文内容分别说说两篇文章各自运用了哪些论证方法？</w:t>
      </w:r>
    </w:p>
    <w:p w14:paraId="10B7BBB3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《谈读书》：(1)运用比喻论证。例如，用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盖天生才干犹如自然花草，读</w:t>
      </w:r>
      <w:r>
        <w:rPr>
          <w:rFonts w:hint="eastAsia" w:ascii="Times New Roman" w:hAnsi="Times New Roman" w:eastAsia="楷体_GB2312" w:cs="Times New Roman"/>
        </w:rPr>
        <w:t>书然后知如何修剪移接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，来说明读书对人的天赋的作用。这样写，生动形象，通俗易懂。(</w:t>
      </w:r>
      <w:r>
        <w:rPr>
          <w:rFonts w:ascii="Times New Roman" w:hAnsi="Times New Roman" w:eastAsia="楷体_GB2312" w:cs="Times New Roman"/>
        </w:rPr>
        <w:t>2)运用对比论证。正面说了，再从反面来说，使说理更加全面、有力。例如，文章的开头从正面论说了读书的目的，接着从反面说了读书的三种偏向。</w:t>
      </w:r>
    </w:p>
    <w:p w14:paraId="13D1AC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《不求甚解》：(1)运用引用论证。用陶渊明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好读书，不求甚解；每有会意，便欣然忘食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引出论题，并加以分析，提出论点；引用陆象山的语录，强调不因小失大，再次论证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不求甚解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。(2)运用举例论证。以普列汉诺夫为例，从反面论证读书一定要虚心，不要死抠字句，要理解其精神实质。以诸葛亮为例证明古代就有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不求甚解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的读书人。(</w:t>
      </w:r>
      <w:r>
        <w:rPr>
          <w:rFonts w:ascii="Times New Roman" w:hAnsi="Times New Roman" w:eastAsia="楷体_GB2312" w:cs="Times New Roman"/>
        </w:rPr>
        <w:t>3)运用对比论证。诸葛亮和普列汉诺夫就是正反对比。</w:t>
      </w:r>
    </w:p>
    <w:p w14:paraId="33EDF9F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目标导学三：对比阅读，品味探究</w:t>
      </w:r>
    </w:p>
    <w:p w14:paraId="36A313B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《谈读书》和《不求甚解》这两篇短文在内容上和写法上有何异同？</w:t>
      </w:r>
    </w:p>
    <w:p w14:paraId="3E3D25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两篇短文都是议论文，在思想内容上有相似之处，都是谈读书的；在写法上有所不同，一是立论、随笔；一是驳论、杂文。《谈读书》这篇随笔采用比喻论证、归纳论证的方法，论述了读书的真正目的，以及读书的正确方法、读</w:t>
      </w:r>
      <w:r>
        <w:rPr>
          <w:rFonts w:hint="eastAsia" w:ascii="Times New Roman" w:hAnsi="Times New Roman" w:eastAsia="楷体_GB2312" w:cs="Times New Roman"/>
        </w:rPr>
        <w:t>书的重要作用。论述全面，观点新颖，语言精辟，对我们的读书、学习和生活有一定的指导作用。《不求甚解》阐述了陶渊明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不求甚解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的两层含义，并以此为根据对否定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不求甚解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的观点进行批驳，指出读书的要诀在于会意，读书要虚心，重要的书要反复阅读，才能真正领会其实质，从而在读书的方法上给读者一些深层次的启发。</w:t>
      </w:r>
    </w:p>
    <w:p w14:paraId="24A466C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目标导学四：畅所欲言，抒发感悟</w:t>
      </w:r>
    </w:p>
    <w:p w14:paraId="4056D2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通过对两篇短文的学习，你对读书有什么认识，谈一谈你的看法。</w:t>
      </w:r>
    </w:p>
    <w:p w14:paraId="7C0ACBE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</w:t>
      </w:r>
      <w:r>
        <w:rPr>
          <w:rFonts w:hint="eastAsia" w:ascii="Times New Roman" w:hAnsi="Times New Roman" w:cs="Times New Roman"/>
        </w:rPr>
        <w:t>例：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读书要仔细推敲、认真思考，反对故意挑刺，迷信书本和仅限于文字推求。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对不同的书，要用不同的读书方法。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提倡把读书和讨论、作文、做笔记结合起来。</w:t>
      </w:r>
    </w:p>
    <w:p w14:paraId="1A315F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6BF0E65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\a\vs4\al(谈读书)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\b\lc\{(\a\vs4\al\co1(第一方面（从开头到</w:instrText>
      </w:r>
      <w:r>
        <w:rPr>
          <w:rFonts w:hAnsi="宋体" w:cs="Times New Roman"/>
        </w:rPr>
        <w:instrText xml:space="preserve">“</w:instrText>
      </w:r>
      <w:r>
        <w:rPr>
          <w:rFonts w:ascii="Times New Roman" w:hAnsi="Times New Roman" w:cs="Times New Roman"/>
        </w:rPr>
        <w:instrText xml:space="preserve">全凭观察得之</w:instrText>
      </w:r>
      <w:r>
        <w:rPr>
          <w:rFonts w:hAnsi="宋体" w:cs="Times New Roman"/>
        </w:rPr>
        <w:instrText xml:space="preserve">”</w:instrText>
      </w:r>
      <w:r>
        <w:rPr>
          <w:rFonts w:ascii="Times New Roman" w:hAnsi="Times New Roman" w:cs="Times New Roman"/>
        </w:rPr>
        <w:instrText xml:space="preserve">）：阐述读书的,  正确目的,第二方面（</w:instrText>
      </w:r>
      <w:r>
        <w:rPr>
          <w:rFonts w:hAnsi="宋体" w:cs="Times New Roman"/>
        </w:rPr>
        <w:instrText xml:space="preserve">“</w:instrText>
      </w:r>
      <w:r>
        <w:rPr>
          <w:rFonts w:ascii="Times New Roman" w:hAnsi="Times New Roman" w:cs="Times New Roman"/>
        </w:rPr>
        <w:instrText xml:space="preserve">读书时不可存心诘难作者</w:instrText>
      </w:r>
      <w:r>
        <w:rPr>
          <w:rFonts w:hAnsi="宋体" w:cs="Times New Roman"/>
        </w:rPr>
        <w:instrText xml:space="preserve">”</w:instrText>
      </w:r>
      <w:r>
        <w:rPr>
          <w:rFonts w:ascii="Times New Roman" w:hAnsi="Times New Roman" w:cs="Times New Roman"/>
        </w:rPr>
        <w:instrText xml:space="preserve">到</w:instrText>
      </w:r>
      <w:r>
        <w:rPr>
          <w:rFonts w:hAnsi="宋体" w:cs="Times New Roman"/>
        </w:rPr>
        <w:instrText xml:space="preserve">“</w:instrText>
      </w:r>
      <w:r>
        <w:rPr>
          <w:rFonts w:ascii="Times New Roman" w:hAnsi="Times New Roman" w:cs="Times New Roman"/>
        </w:rPr>
        <w:instrText xml:space="preserve">始能无知,  而显有知</w:instrText>
      </w:r>
      <w:r>
        <w:rPr>
          <w:rFonts w:hAnsi="宋体" w:cs="Times New Roman"/>
        </w:rPr>
        <w:instrText xml:space="preserve">”</w:instrText>
      </w:r>
      <w:r>
        <w:rPr>
          <w:rFonts w:ascii="Times New Roman" w:hAnsi="Times New Roman" w:cs="Times New Roman"/>
        </w:rPr>
        <w:instrText xml:space="preserve">）：阐述读书的方法,第三方面（</w:instrText>
      </w:r>
      <w:r>
        <w:rPr>
          <w:rFonts w:hAnsi="宋体" w:cs="Times New Roman"/>
        </w:rPr>
        <w:instrText xml:space="preserve">“</w:instrText>
      </w:r>
      <w:r>
        <w:rPr>
          <w:rFonts w:ascii="Times New Roman" w:hAnsi="Times New Roman" w:cs="Times New Roman"/>
        </w:rPr>
        <w:instrText xml:space="preserve">读史使人明智</w:instrText>
      </w:r>
      <w:r>
        <w:rPr>
          <w:rFonts w:hAnsi="宋体" w:cs="Times New Roman"/>
        </w:rPr>
        <w:instrText xml:space="preserve">”</w:instrText>
      </w:r>
      <w:r>
        <w:rPr>
          <w:rFonts w:ascii="Times New Roman" w:hAnsi="Times New Roman" w:cs="Times New Roman"/>
        </w:rPr>
        <w:instrText xml:space="preserve">到结尾）：阐述读书能塑造,  人的性格和弥补精神上的各种缺陷))</w:instrText>
      </w:r>
      <w:r>
        <w:rPr>
          <w:rFonts w:ascii="Times New Roman" w:hAnsi="Times New Roman" w:cs="Times New Roman"/>
        </w:rPr>
        <w:fldChar w:fldCharType="end"/>
      </w:r>
    </w:p>
    <w:p w14:paraId="0556681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"C:\\Users\\Administrator\\Desktop\\9JAX4.TIF" \* MERGEFORMATINET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09.5pt;width:225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 w14:paraId="7B6C186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4323D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2E4B526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76713C7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1.从读书方法导入文本，起到了很好地激发学生阅读兴趣的作用。</w:t>
            </w:r>
          </w:p>
          <w:p w14:paraId="1B67634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2．比较教学，引导学生突破重点，在体验分析中明确议论文的论证方式：立论和驳论。避免了先入为主，机械的传递议论文知识，使学生在阅读体验中提升</w:t>
            </w:r>
            <w:r>
              <w:rPr>
                <w:rFonts w:hint="eastAsia" w:ascii="Times New Roman" w:hAnsi="Times New Roman" w:cs="Times New Roman"/>
              </w:rPr>
              <w:t>议论文感知能力。</w:t>
            </w:r>
          </w:p>
          <w:p w14:paraId="574104E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hint="eastAsia" w:ascii="Times New Roman" w:hAnsi="Times New Roman" w:cs="Times New Roman"/>
              </w:rPr>
              <w:t>．</w:t>
            </w:r>
            <w:r>
              <w:rPr>
                <w:rFonts w:ascii="Times New Roman" w:hAnsi="Times New Roman" w:cs="Times New Roman"/>
              </w:rPr>
              <w:t>巧妙的问题设计，激活学生的思维，能够很好地在对话中突破教学的重点、难点，促使学生在自主阅读的基础上质疑交流，激发了学生对阅读的热情，对读书观和方法论正确的认识。</w:t>
            </w:r>
          </w:p>
        </w:tc>
      </w:tr>
      <w:tr w14:paraId="6C0FA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6472280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2C94961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对课文中关于读书的名言，未能做详细分析。教学过程中也缺少让学生对自己喜欢的语句进行语言品析的环节。</w:t>
            </w:r>
          </w:p>
        </w:tc>
      </w:tr>
    </w:tbl>
    <w:p w14:paraId="5D5AFFC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FC75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CE3C1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333B7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17C57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980A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27D2B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3752E"/>
    <w:rsid w:val="0008076C"/>
    <w:rsid w:val="009952BB"/>
    <w:rsid w:val="00DB1D6B"/>
    <w:rsid w:val="00DE415C"/>
    <w:rsid w:val="00EB77D1"/>
    <w:rsid w:val="00FC331F"/>
    <w:rsid w:val="66B3752E"/>
    <w:rsid w:val="6D535020"/>
    <w:rsid w:val="7510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file:///C:\Users\Administrator\Desktop\&#25945;&#23398;&#21453;&#24605;.TIF" TargetMode="External"/><Relationship Id="rId16" Type="http://schemas.openxmlformats.org/officeDocument/2006/relationships/image" Target="media/image4.png"/><Relationship Id="rId15" Type="http://schemas.openxmlformats.org/officeDocument/2006/relationships/image" Target="file:///C:\Users\Administrator\Desktop\9JAX4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2156</Words>
  <Characters>2172</Characters>
  <Lines>19</Lines>
  <Paragraphs>5</Paragraphs>
  <TotalTime>0</TotalTime>
  <ScaleCrop>false</ScaleCrop>
  <LinksUpToDate>false</LinksUpToDate>
  <CharactersWithSpaces>2181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2018-05-31T10:02:00Z</dcterms:created>
  <dc:creator>Ulysses</dc:creator>
  <cp:lastModifiedBy>上帝掷骰子吗</cp:lastModifiedBy>
  <dcterms:modified xsi:type="dcterms:W3CDTF">2025-08-06T09:10:42Z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77945D98E22B4ED1BD43F6F1F916AF6D_12</vt:lpwstr>
  </property>
</Properties>
</file>